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67A265">
      <w:pPr>
        <w:jc w:val="center"/>
        <w:rPr>
          <w:rFonts w:eastAsia="黑体"/>
          <w:sz w:val="36"/>
        </w:rPr>
      </w:pPr>
    </w:p>
    <w:p w14:paraId="558BAE4F">
      <w:pPr>
        <w:pStyle w:val="14"/>
        <w:ind w:firstLine="600"/>
      </w:pPr>
    </w:p>
    <w:p w14:paraId="3C25FE3A">
      <w:pPr>
        <w:jc w:val="center"/>
        <w:rPr>
          <w:rFonts w:hint="eastAsia"/>
          <w:b/>
          <w:sz w:val="84"/>
        </w:rPr>
      </w:pPr>
      <w:r>
        <w:rPr>
          <w:rFonts w:hint="eastAsia"/>
          <w:b/>
          <w:sz w:val="84"/>
        </w:rPr>
        <w:t>招 标 文 件</w:t>
      </w:r>
    </w:p>
    <w:p w14:paraId="62C17060">
      <w:pPr>
        <w:rPr>
          <w:rFonts w:eastAsia="黑体"/>
          <w:b/>
          <w:sz w:val="32"/>
        </w:rPr>
      </w:pPr>
      <w:r>
        <w:rPr>
          <w:rFonts w:hint="eastAsia" w:eastAsia="黑体"/>
          <w:b/>
          <w:sz w:val="32"/>
        </w:rPr>
        <w:t xml:space="preserve">  </w:t>
      </w:r>
    </w:p>
    <w:p w14:paraId="514A706F">
      <w:pPr>
        <w:jc w:val="center"/>
        <w:rPr>
          <w:rFonts w:hint="eastAsia" w:eastAsia="黑体"/>
          <w:b/>
          <w:sz w:val="32"/>
        </w:rPr>
      </w:pPr>
    </w:p>
    <w:p w14:paraId="7B7710C2">
      <w:pPr>
        <w:jc w:val="center"/>
        <w:rPr>
          <w:rFonts w:hint="eastAsia" w:eastAsia="黑体"/>
          <w:b/>
          <w:sz w:val="32"/>
        </w:rPr>
      </w:pPr>
    </w:p>
    <w:p w14:paraId="279F0475">
      <w:pPr>
        <w:jc w:val="center"/>
        <w:rPr>
          <w:rFonts w:hint="eastAsia" w:eastAsia="黑体"/>
          <w:b/>
          <w:sz w:val="32"/>
        </w:rPr>
      </w:pPr>
    </w:p>
    <w:p w14:paraId="330787FB">
      <w:pPr>
        <w:jc w:val="center"/>
        <w:rPr>
          <w:rFonts w:hint="eastAsia" w:eastAsia="黑体"/>
          <w:b/>
          <w:sz w:val="32"/>
        </w:rPr>
      </w:pPr>
    </w:p>
    <w:p w14:paraId="02EBD3AF">
      <w:pPr>
        <w:pStyle w:val="14"/>
        <w:ind w:firstLine="0"/>
        <w:rPr>
          <w:rFonts w:hint="eastAsia"/>
        </w:rPr>
      </w:pPr>
    </w:p>
    <w:p w14:paraId="11594C08">
      <w:pPr>
        <w:jc w:val="both"/>
        <w:rPr>
          <w:rFonts w:hint="default" w:ascii="宋体"/>
          <w:b/>
          <w:sz w:val="36"/>
          <w:szCs w:val="36"/>
          <w:highlight w:val="none"/>
          <w:lang w:val="en-US"/>
        </w:rPr>
      </w:pPr>
      <w:r>
        <w:rPr>
          <w:rFonts w:hint="eastAsia" w:ascii="宋体"/>
          <w:b/>
          <w:sz w:val="36"/>
          <w:szCs w:val="36"/>
        </w:rPr>
        <w:t>项目编</w:t>
      </w:r>
      <w:r>
        <w:rPr>
          <w:rFonts w:hint="eastAsia" w:ascii="宋体" w:hAnsi="宋体" w:cs="宋体"/>
          <w:b/>
          <w:sz w:val="36"/>
          <w:szCs w:val="36"/>
          <w:highlight w:val="none"/>
          <w:lang w:val="en-US" w:eastAsia="zh-CN"/>
        </w:rPr>
        <w:t>号：</w:t>
      </w:r>
      <w:r>
        <w:rPr>
          <w:rFonts w:hint="eastAsia" w:ascii="宋体" w:hAnsi="宋体" w:cs="宋体"/>
          <w:b/>
          <w:color w:val="000000" w:themeColor="text1"/>
          <w:sz w:val="36"/>
          <w:szCs w:val="36"/>
          <w:highlight w:val="none"/>
          <w:lang w:val="en-US" w:eastAsia="zh-CN"/>
          <w14:textFill>
            <w14:solidFill>
              <w14:schemeClr w14:val="tx1"/>
            </w14:solidFill>
          </w14:textFill>
        </w:rPr>
        <w:t>JSZC-320904-YCMY-G2026-0001</w:t>
      </w:r>
    </w:p>
    <w:p w14:paraId="32B26D0D">
      <w:pPr>
        <w:ind w:firstLine="2692"/>
        <w:rPr>
          <w:rFonts w:hint="eastAsia" w:ascii="宋体" w:eastAsia="宋体"/>
          <w:b/>
          <w:sz w:val="36"/>
          <w:szCs w:val="36"/>
          <w:lang w:val="en-US" w:eastAsia="zh-CN"/>
        </w:rPr>
      </w:pPr>
      <w:r>
        <w:rPr>
          <w:rFonts w:hint="eastAsia" w:ascii="宋体"/>
          <w:b/>
          <w:sz w:val="36"/>
          <w:szCs w:val="36"/>
          <w:lang w:val="en-US" w:eastAsia="zh-CN"/>
        </w:rPr>
        <w:t xml:space="preserve"> </w:t>
      </w:r>
    </w:p>
    <w:p w14:paraId="40C2CC27">
      <w:pPr>
        <w:jc w:val="center"/>
        <w:rPr>
          <w:rFonts w:hint="eastAsia" w:ascii="宋体" w:eastAsia="宋体"/>
          <w:b/>
          <w:color w:val="000000" w:themeColor="text1"/>
          <w:sz w:val="36"/>
          <w:szCs w:val="36"/>
          <w:lang w:val="en-US" w:eastAsia="zh-CN"/>
          <w14:textFill>
            <w14:solidFill>
              <w14:schemeClr w14:val="tx1"/>
            </w14:solidFill>
          </w14:textFill>
        </w:rPr>
      </w:pPr>
      <w:r>
        <w:rPr>
          <w:rFonts w:hint="eastAsia" w:ascii="宋体"/>
          <w:b/>
          <w:sz w:val="36"/>
          <w:szCs w:val="36"/>
        </w:rPr>
        <w:t>项</w:t>
      </w:r>
      <w:r>
        <w:rPr>
          <w:rFonts w:hint="eastAsia" w:ascii="宋体" w:hAnsi="宋体" w:cs="宋体"/>
          <w:b/>
          <w:sz w:val="36"/>
          <w:szCs w:val="36"/>
        </w:rPr>
        <w:t>目名称：</w:t>
      </w:r>
      <w:r>
        <w:rPr>
          <w:rFonts w:hint="eastAsia" w:ascii="宋体" w:hAnsi="宋体" w:cs="宋体"/>
          <w:b/>
          <w:sz w:val="36"/>
          <w:szCs w:val="36"/>
          <w:lang w:eastAsia="zh-CN"/>
        </w:rPr>
        <w:t>盐城市大丰区2026年斗龙港水面漂浮物打捞服务项目</w:t>
      </w:r>
    </w:p>
    <w:p w14:paraId="45E2105B">
      <w:pPr>
        <w:rPr>
          <w:rFonts w:hint="eastAsia" w:ascii="宋体"/>
          <w:b/>
          <w:sz w:val="32"/>
        </w:rPr>
      </w:pPr>
    </w:p>
    <w:p w14:paraId="4FEBF8A6">
      <w:pPr>
        <w:rPr>
          <w:rFonts w:hint="eastAsia" w:ascii="宋体"/>
          <w:b/>
          <w:sz w:val="32"/>
        </w:rPr>
      </w:pPr>
    </w:p>
    <w:p w14:paraId="047F8F18">
      <w:pPr>
        <w:rPr>
          <w:rFonts w:hint="eastAsia" w:ascii="宋体"/>
          <w:b/>
          <w:sz w:val="32"/>
        </w:rPr>
      </w:pPr>
    </w:p>
    <w:p w14:paraId="78D418A7">
      <w:pPr>
        <w:rPr>
          <w:rFonts w:hint="eastAsia"/>
        </w:rPr>
      </w:pPr>
    </w:p>
    <w:p w14:paraId="74ADE5DA">
      <w:pPr>
        <w:pStyle w:val="14"/>
        <w:ind w:firstLine="600"/>
        <w:rPr>
          <w:rFonts w:hint="eastAsia"/>
        </w:rPr>
      </w:pPr>
    </w:p>
    <w:p w14:paraId="1F7A59BA">
      <w:pPr>
        <w:rPr>
          <w:rFonts w:hint="eastAsia"/>
        </w:rPr>
      </w:pPr>
    </w:p>
    <w:p w14:paraId="77C20B07">
      <w:pPr>
        <w:rPr>
          <w:rFonts w:hint="eastAsia"/>
        </w:rPr>
      </w:pPr>
    </w:p>
    <w:p w14:paraId="71F8DEEF">
      <w:pPr>
        <w:rPr>
          <w:rFonts w:hint="eastAsia"/>
        </w:rPr>
      </w:pPr>
    </w:p>
    <w:p w14:paraId="2B5C6CCB">
      <w:pPr>
        <w:rPr>
          <w:rFonts w:hint="eastAsia"/>
        </w:rPr>
      </w:pPr>
    </w:p>
    <w:p w14:paraId="141882C6">
      <w:pPr>
        <w:rPr>
          <w:rFonts w:hint="eastAsia"/>
        </w:rPr>
      </w:pPr>
    </w:p>
    <w:p w14:paraId="68036813">
      <w:pPr>
        <w:rPr>
          <w:rFonts w:hint="eastAsia"/>
        </w:rPr>
      </w:pPr>
    </w:p>
    <w:p w14:paraId="441A891E">
      <w:pPr>
        <w:rPr>
          <w:rFonts w:hint="eastAsia"/>
        </w:rPr>
      </w:pPr>
    </w:p>
    <w:p w14:paraId="5DDB51C7">
      <w:pPr>
        <w:rPr>
          <w:rFonts w:hint="eastAsia"/>
        </w:rPr>
      </w:pPr>
    </w:p>
    <w:p w14:paraId="313128C8">
      <w:pPr>
        <w:rPr>
          <w:rFonts w:hint="eastAsia"/>
        </w:rPr>
      </w:pPr>
    </w:p>
    <w:p w14:paraId="053CEC0A">
      <w:pPr>
        <w:rPr>
          <w:rFonts w:hint="eastAsia"/>
        </w:rPr>
      </w:pPr>
    </w:p>
    <w:p w14:paraId="2AC3D47B">
      <w:pPr>
        <w:spacing w:line="480" w:lineRule="auto"/>
        <w:jc w:val="center"/>
        <w:outlineLvl w:val="0"/>
        <w:rPr>
          <w:rFonts w:hint="eastAsia" w:eastAsia="宋体"/>
          <w:b/>
          <w:bCs/>
          <w:sz w:val="28"/>
          <w:szCs w:val="28"/>
          <w:lang w:eastAsia="zh-CN"/>
        </w:rPr>
      </w:pPr>
      <w:r>
        <w:rPr>
          <w:rFonts w:hint="eastAsia"/>
          <w:b/>
          <w:bCs/>
          <w:sz w:val="28"/>
          <w:szCs w:val="28"/>
        </w:rPr>
        <w:t>采 购 人：</w:t>
      </w:r>
      <w:r>
        <w:rPr>
          <w:rFonts w:hint="eastAsia"/>
          <w:b/>
          <w:bCs/>
          <w:sz w:val="28"/>
          <w:szCs w:val="28"/>
          <w:lang w:eastAsia="zh-CN"/>
        </w:rPr>
        <w:t>盐城市大丰区新丰镇人民政府</w:t>
      </w:r>
    </w:p>
    <w:p w14:paraId="74504D50">
      <w:pPr>
        <w:spacing w:line="480" w:lineRule="auto"/>
        <w:jc w:val="center"/>
        <w:outlineLvl w:val="0"/>
        <w:rPr>
          <w:rFonts w:hint="eastAsia" w:eastAsia="宋体"/>
          <w:b/>
          <w:bCs/>
          <w:sz w:val="28"/>
          <w:szCs w:val="28"/>
          <w:lang w:eastAsia="zh-CN"/>
        </w:rPr>
      </w:pPr>
      <w:r>
        <w:rPr>
          <w:rFonts w:hint="eastAsia"/>
          <w:b/>
          <w:bCs/>
          <w:sz w:val="28"/>
          <w:szCs w:val="28"/>
        </w:rPr>
        <w:t>代理机构：</w:t>
      </w:r>
      <w:r>
        <w:rPr>
          <w:rFonts w:hint="eastAsia"/>
          <w:b/>
          <w:bCs/>
          <w:sz w:val="28"/>
          <w:szCs w:val="28"/>
          <w:lang w:eastAsia="zh-CN"/>
        </w:rPr>
        <w:t xml:space="preserve">盐城铭源项目管理有限公司   </w:t>
      </w:r>
    </w:p>
    <w:p w14:paraId="67625731">
      <w:pPr>
        <w:spacing w:line="480" w:lineRule="auto"/>
        <w:jc w:val="center"/>
        <w:outlineLvl w:val="0"/>
        <w:rPr>
          <w:rFonts w:hint="eastAsia" w:ascii="宋体" w:hAnsi="宋体" w:cs="宋体"/>
          <w:b/>
          <w:sz w:val="36"/>
          <w:szCs w:val="36"/>
        </w:rPr>
      </w:pPr>
      <w:r>
        <w:rPr>
          <w:rFonts w:hint="eastAsia"/>
          <w:b/>
          <w:bCs/>
          <w:sz w:val="28"/>
          <w:szCs w:val="28"/>
        </w:rPr>
        <w:t>二〇二</w:t>
      </w:r>
      <w:r>
        <w:rPr>
          <w:rFonts w:hint="eastAsia"/>
          <w:b/>
          <w:bCs/>
          <w:sz w:val="28"/>
          <w:szCs w:val="28"/>
          <w:lang w:val="en-US" w:eastAsia="zh-CN"/>
        </w:rPr>
        <w:t>六</w:t>
      </w:r>
      <w:r>
        <w:rPr>
          <w:rFonts w:hint="eastAsia"/>
          <w:b/>
          <w:bCs/>
          <w:sz w:val="28"/>
          <w:szCs w:val="28"/>
        </w:rPr>
        <w:t>年</w:t>
      </w:r>
      <w:r>
        <w:rPr>
          <w:rFonts w:hint="eastAsia"/>
          <w:b/>
          <w:bCs/>
          <w:sz w:val="28"/>
          <w:szCs w:val="28"/>
          <w:lang w:val="en-US" w:eastAsia="zh-CN"/>
        </w:rPr>
        <w:t>四</w:t>
      </w:r>
      <w:r>
        <w:rPr>
          <w:rFonts w:hint="eastAsia"/>
          <w:b/>
          <w:bCs/>
          <w:sz w:val="28"/>
          <w:szCs w:val="28"/>
        </w:rPr>
        <w:t>月</w:t>
      </w:r>
      <w:r>
        <w:rPr/>
        <w:br w:type="page" w:clear="all"/>
      </w:r>
      <w:bookmarkStart w:id="0" w:name="_Toc120614210"/>
      <w:bookmarkStart w:id="1" w:name="_Toc523127445"/>
      <w:bookmarkStart w:id="2" w:name="_Toc16938516"/>
      <w:bookmarkStart w:id="3" w:name="_Toc479757206"/>
      <w:bookmarkStart w:id="4" w:name="_Toc513029200"/>
      <w:bookmarkStart w:id="5" w:name="_Toc20823272"/>
      <w:r>
        <w:rPr>
          <w:rFonts w:hint="eastAsia" w:ascii="宋体" w:hAnsi="宋体" w:cs="宋体"/>
          <w:b/>
          <w:sz w:val="36"/>
          <w:szCs w:val="36"/>
        </w:rPr>
        <w:t>总  目  录</w:t>
      </w:r>
    </w:p>
    <w:p w14:paraId="3BF59FE2">
      <w:pPr>
        <w:pStyle w:val="14"/>
        <w:ind w:firstLine="0"/>
        <w:rPr>
          <w:rFonts w:hint="eastAsia"/>
        </w:rPr>
      </w:pPr>
    </w:p>
    <w:p w14:paraId="41365C35">
      <w:pPr>
        <w:pStyle w:val="12"/>
        <w:tabs>
          <w:tab w:val="right" w:leader="dot" w:pos="9746"/>
          <w:tab w:val="clear" w:pos="8720"/>
        </w:tabs>
        <w:spacing w:line="360" w:lineRule="auto"/>
        <w:rPr>
          <w:rFonts w:hint="eastAsia" w:eastAsia="宋体"/>
          <w:sz w:val="24"/>
          <w:szCs w:val="24"/>
          <w:lang w:val="en-US" w:eastAsia="zh-CN"/>
        </w:rPr>
      </w:pPr>
      <w:r>
        <w:rPr>
          <w:sz w:val="24"/>
          <w:szCs w:val="24"/>
        </w:rPr>
        <w:fldChar w:fldCharType="begin"/>
      </w:r>
      <w:r>
        <w:rPr>
          <w:sz w:val="24"/>
          <w:szCs w:val="24"/>
        </w:rPr>
        <w:instrText xml:space="preserve">TOC \o "1-2" \h \u </w:instrText>
      </w:r>
      <w:r>
        <w:rPr>
          <w:sz w:val="24"/>
          <w:szCs w:val="24"/>
        </w:rPr>
        <w:fldChar w:fldCharType="separate"/>
      </w:r>
      <w:r>
        <w:fldChar w:fldCharType="begin"/>
      </w:r>
      <w:r>
        <w:instrText xml:space="preserve"> HYPERLINK \l "_Toc18509" </w:instrText>
      </w:r>
      <w:r>
        <w:fldChar w:fldCharType="separate"/>
      </w:r>
      <w:r>
        <w:rPr>
          <w:rFonts w:hint="eastAsia" w:hAnsi="宋体"/>
          <w:sz w:val="24"/>
          <w:szCs w:val="24"/>
        </w:rPr>
        <w:t>第一章 招标公告</w:t>
      </w:r>
      <w:r>
        <w:rPr>
          <w:sz w:val="24"/>
          <w:szCs w:val="24"/>
        </w:rPr>
        <w:tab/>
      </w:r>
      <w:r>
        <w:rPr>
          <w:sz w:val="24"/>
          <w:szCs w:val="24"/>
        </w:rPr>
        <w:fldChar w:fldCharType="end"/>
      </w:r>
      <w:r>
        <w:rPr>
          <w:rFonts w:hint="eastAsia"/>
          <w:sz w:val="24"/>
          <w:szCs w:val="24"/>
          <w:lang w:val="en-US" w:eastAsia="zh-CN"/>
        </w:rPr>
        <w:t>2</w:t>
      </w:r>
    </w:p>
    <w:p w14:paraId="5F4382BD">
      <w:pPr>
        <w:pStyle w:val="12"/>
        <w:tabs>
          <w:tab w:val="right" w:leader="dot" w:pos="9746"/>
          <w:tab w:val="clear" w:pos="8720"/>
        </w:tabs>
        <w:spacing w:line="360" w:lineRule="auto"/>
        <w:rPr>
          <w:rFonts w:hint="eastAsia" w:eastAsia="宋体"/>
          <w:sz w:val="24"/>
          <w:szCs w:val="24"/>
          <w:lang w:val="en-US" w:eastAsia="zh-CN"/>
        </w:rPr>
      </w:pPr>
      <w:r>
        <w:fldChar w:fldCharType="begin"/>
      </w:r>
      <w:r>
        <w:instrText xml:space="preserve"> HYPERLINK \l "_Toc10015" </w:instrText>
      </w:r>
      <w:r>
        <w:fldChar w:fldCharType="separate"/>
      </w:r>
      <w:r>
        <w:rPr>
          <w:rFonts w:hint="eastAsia" w:ascii="宋体" w:hAnsi="宋体" w:cs="宋体"/>
          <w:sz w:val="24"/>
          <w:szCs w:val="24"/>
        </w:rPr>
        <w:t>第二章 投标</w:t>
      </w:r>
      <w:r>
        <w:rPr>
          <w:rFonts w:hint="eastAsia" w:cs="宋体"/>
          <w:sz w:val="24"/>
          <w:szCs w:val="24"/>
          <w:lang w:val="en-US" w:eastAsia="zh-CN"/>
        </w:rPr>
        <w:t>人</w:t>
      </w:r>
      <w:r>
        <w:rPr>
          <w:rFonts w:hint="eastAsia" w:ascii="宋体" w:hAnsi="宋体" w:cs="宋体"/>
          <w:sz w:val="24"/>
          <w:szCs w:val="24"/>
        </w:rPr>
        <w:t>须知</w:t>
      </w:r>
      <w:r>
        <w:rPr>
          <w:sz w:val="24"/>
          <w:szCs w:val="24"/>
        </w:rPr>
        <w:tab/>
      </w:r>
      <w:r>
        <w:rPr>
          <w:sz w:val="24"/>
          <w:szCs w:val="24"/>
        </w:rPr>
        <w:fldChar w:fldCharType="end"/>
      </w:r>
      <w:r>
        <w:rPr>
          <w:rFonts w:hint="eastAsia"/>
          <w:sz w:val="24"/>
          <w:szCs w:val="24"/>
          <w:lang w:val="en-US" w:eastAsia="zh-CN"/>
        </w:rPr>
        <w:t>6</w:t>
      </w:r>
    </w:p>
    <w:p w14:paraId="7D4A92CC">
      <w:pPr>
        <w:pStyle w:val="12"/>
        <w:tabs>
          <w:tab w:val="right" w:leader="dot" w:pos="9746"/>
          <w:tab w:val="clear" w:pos="8720"/>
        </w:tabs>
        <w:spacing w:line="360" w:lineRule="auto"/>
        <w:rPr>
          <w:rFonts w:hint="default" w:eastAsia="宋体"/>
          <w:sz w:val="24"/>
          <w:szCs w:val="24"/>
          <w:lang w:val="en-US" w:eastAsia="zh-CN"/>
        </w:rPr>
      </w:pPr>
      <w:r>
        <w:fldChar w:fldCharType="begin"/>
      </w:r>
      <w:r>
        <w:instrText xml:space="preserve"> HYPERLINK \l "_Toc2866" </w:instrText>
      </w:r>
      <w:r>
        <w:fldChar w:fldCharType="separate"/>
      </w:r>
      <w:r>
        <w:rPr>
          <w:rFonts w:hint="eastAsia" w:ascii="宋体" w:hAnsi="宋体" w:cs="宋体"/>
          <w:sz w:val="24"/>
          <w:szCs w:val="24"/>
        </w:rPr>
        <w:t>第三章 采购需求</w:t>
      </w:r>
      <w:r>
        <w:rPr>
          <w:sz w:val="24"/>
          <w:szCs w:val="24"/>
        </w:rPr>
        <w:tab/>
      </w:r>
      <w:r>
        <w:rPr>
          <w:sz w:val="24"/>
          <w:szCs w:val="24"/>
        </w:rPr>
        <w:fldChar w:fldCharType="end"/>
      </w:r>
      <w:r>
        <w:rPr>
          <w:rFonts w:hint="eastAsia"/>
          <w:sz w:val="24"/>
          <w:szCs w:val="24"/>
          <w:lang w:val="en-US" w:eastAsia="zh-CN"/>
        </w:rPr>
        <w:t>18</w:t>
      </w:r>
    </w:p>
    <w:p w14:paraId="2D48EEA4">
      <w:pPr>
        <w:pStyle w:val="12"/>
        <w:tabs>
          <w:tab w:val="right" w:leader="dot" w:pos="9746"/>
          <w:tab w:val="clear" w:pos="8720"/>
        </w:tabs>
        <w:spacing w:line="360" w:lineRule="auto"/>
        <w:rPr>
          <w:rFonts w:hint="default" w:eastAsia="宋体"/>
          <w:sz w:val="24"/>
          <w:szCs w:val="24"/>
          <w:lang w:val="en-US" w:eastAsia="zh-CN"/>
        </w:rPr>
      </w:pPr>
      <w:r>
        <w:fldChar w:fldCharType="begin"/>
      </w:r>
      <w:r>
        <w:instrText xml:space="preserve"> HYPERLINK \l "_Toc25848" </w:instrText>
      </w:r>
      <w:r>
        <w:fldChar w:fldCharType="separate"/>
      </w:r>
      <w:r>
        <w:rPr>
          <w:rFonts w:hint="eastAsia" w:ascii="宋体" w:hAnsi="宋体" w:cs="宋体"/>
          <w:sz w:val="24"/>
          <w:szCs w:val="24"/>
        </w:rPr>
        <w:t>第四章 定标原则与评标标准</w:t>
      </w:r>
      <w:r>
        <w:rPr>
          <w:sz w:val="24"/>
          <w:szCs w:val="24"/>
        </w:rPr>
        <w:tab/>
      </w:r>
      <w:r>
        <w:rPr>
          <w:sz w:val="24"/>
          <w:szCs w:val="24"/>
        </w:rPr>
        <w:fldChar w:fldCharType="end"/>
      </w:r>
      <w:r>
        <w:rPr>
          <w:rFonts w:hint="eastAsia"/>
          <w:sz w:val="24"/>
          <w:szCs w:val="24"/>
          <w:lang w:val="en-US" w:eastAsia="zh-CN"/>
        </w:rPr>
        <w:t>22</w:t>
      </w:r>
    </w:p>
    <w:p w14:paraId="64EFC652">
      <w:pPr>
        <w:pStyle w:val="12"/>
        <w:tabs>
          <w:tab w:val="right" w:leader="dot" w:pos="9746"/>
          <w:tab w:val="clear" w:pos="8720"/>
        </w:tabs>
        <w:spacing w:line="360" w:lineRule="auto"/>
        <w:rPr>
          <w:rFonts w:hint="default" w:eastAsia="宋体"/>
          <w:sz w:val="24"/>
          <w:szCs w:val="24"/>
          <w:lang w:val="en-US" w:eastAsia="zh-CN"/>
        </w:rPr>
      </w:pPr>
      <w:r>
        <w:fldChar w:fldCharType="begin"/>
      </w:r>
      <w:r>
        <w:instrText xml:space="preserve"> HYPERLINK \l "_Toc15858" </w:instrText>
      </w:r>
      <w:r>
        <w:fldChar w:fldCharType="separate"/>
      </w:r>
      <w:r>
        <w:rPr>
          <w:rFonts w:hint="eastAsia" w:ascii="宋体" w:hAnsi="宋体"/>
          <w:sz w:val="24"/>
          <w:szCs w:val="24"/>
        </w:rPr>
        <w:t>第五章 合同主要条款</w:t>
      </w:r>
      <w:r>
        <w:rPr>
          <w:sz w:val="24"/>
          <w:szCs w:val="24"/>
        </w:rPr>
        <w:tab/>
      </w:r>
      <w:r>
        <w:rPr>
          <w:sz w:val="24"/>
          <w:szCs w:val="24"/>
        </w:rPr>
        <w:fldChar w:fldCharType="end"/>
      </w:r>
      <w:r>
        <w:rPr>
          <w:rFonts w:hint="eastAsia"/>
          <w:sz w:val="24"/>
          <w:szCs w:val="24"/>
          <w:lang w:val="en-US" w:eastAsia="zh-CN"/>
        </w:rPr>
        <w:t>27</w:t>
      </w:r>
    </w:p>
    <w:p w14:paraId="743C5C6F">
      <w:pPr>
        <w:pStyle w:val="12"/>
        <w:tabs>
          <w:tab w:val="right" w:leader="dot" w:pos="9746"/>
          <w:tab w:val="clear" w:pos="8720"/>
        </w:tabs>
        <w:spacing w:line="360" w:lineRule="auto"/>
        <w:rPr>
          <w:rFonts w:hint="default" w:eastAsia="宋体"/>
          <w:sz w:val="24"/>
          <w:szCs w:val="24"/>
          <w:lang w:val="en-US" w:eastAsia="zh-CN"/>
        </w:rPr>
      </w:pPr>
      <w:r>
        <w:fldChar w:fldCharType="begin"/>
      </w:r>
      <w:r>
        <w:instrText xml:space="preserve"> HYPERLINK \l "_Toc25681" </w:instrText>
      </w:r>
      <w:r>
        <w:fldChar w:fldCharType="separate"/>
      </w:r>
      <w:r>
        <w:rPr>
          <w:rFonts w:hint="eastAsia"/>
          <w:sz w:val="24"/>
          <w:szCs w:val="24"/>
        </w:rPr>
        <w:t>第六章 投标文件及格式</w:t>
      </w:r>
      <w:r>
        <w:rPr>
          <w:sz w:val="24"/>
          <w:szCs w:val="24"/>
        </w:rPr>
        <w:tab/>
      </w:r>
      <w:r>
        <w:rPr>
          <w:sz w:val="24"/>
          <w:szCs w:val="24"/>
        </w:rPr>
        <w:fldChar w:fldCharType="end"/>
      </w:r>
      <w:r>
        <w:rPr>
          <w:rFonts w:hint="eastAsia"/>
          <w:sz w:val="24"/>
          <w:szCs w:val="24"/>
          <w:lang w:val="en-US" w:eastAsia="zh-CN"/>
        </w:rPr>
        <w:t>31</w:t>
      </w:r>
    </w:p>
    <w:p w14:paraId="50E1E390">
      <w:pPr>
        <w:pStyle w:val="2"/>
        <w:jc w:val="both"/>
        <w:rPr>
          <w:rFonts w:hint="eastAsia" w:ascii="黑体" w:eastAsia="黑体"/>
          <w:sz w:val="44"/>
          <w:szCs w:val="44"/>
        </w:rPr>
        <w:sectPr>
          <w:headerReference r:id="rId3" w:type="default"/>
          <w:footerReference r:id="rId4" w:type="default"/>
          <w:footerReference r:id="rId5" w:type="even"/>
          <w:pgSz w:w="11906" w:h="16838"/>
          <w:pgMar w:top="1440" w:right="1587" w:bottom="1440" w:left="1587" w:header="851" w:footer="907" w:gutter="0"/>
          <w:pgNumType w:start="0"/>
          <w:cols w:space="720" w:num="1"/>
          <w:titlePg/>
          <w:docGrid w:linePitch="360" w:charSpace="0"/>
        </w:sectPr>
      </w:pPr>
      <w:r>
        <w:rPr>
          <w:sz w:val="24"/>
          <w:szCs w:val="24"/>
        </w:rPr>
        <w:fldChar w:fldCharType="end"/>
      </w:r>
    </w:p>
    <w:p w14:paraId="6830176D">
      <w:pPr>
        <w:pStyle w:val="2"/>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招标公告</w:t>
      </w:r>
    </w:p>
    <w:p w14:paraId="1FE0E39A">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460" w:lineRule="exact"/>
        <w:ind w:firstLine="482"/>
        <w:textAlignment w:val="auto"/>
        <w:rPr>
          <w:rFonts w:hint="eastAsia" w:ascii="宋体" w:hAnsi="宋体" w:cs="宋体"/>
          <w:sz w:val="21"/>
          <w:szCs w:val="21"/>
        </w:rPr>
      </w:pPr>
      <w:r>
        <w:rPr>
          <w:rFonts w:hint="eastAsia" w:ascii="宋体" w:hAnsi="宋体" w:cs="宋体"/>
          <w:sz w:val="21"/>
          <w:szCs w:val="21"/>
        </w:rPr>
        <w:t>项目概况</w:t>
      </w:r>
    </w:p>
    <w:p w14:paraId="5159A64E">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460" w:lineRule="exact"/>
        <w:ind w:firstLine="482"/>
        <w:textAlignment w:val="auto"/>
        <w:rPr>
          <w:rFonts w:hint="eastAsia" w:ascii="宋体" w:hAnsi="宋体" w:cs="宋体"/>
          <w:sz w:val="21"/>
          <w:szCs w:val="21"/>
        </w:rPr>
      </w:pPr>
      <w:r>
        <w:rPr>
          <w:rFonts w:hint="eastAsia" w:ascii="宋体" w:hAnsi="宋体" w:cs="宋体"/>
          <w:sz w:val="21"/>
          <w:szCs w:val="21"/>
          <w:u w:val="single"/>
          <w:lang w:eastAsia="zh-CN"/>
        </w:rPr>
        <w:t>盐城市大丰区2026年斗龙港水面漂浮物打捞服务项目</w:t>
      </w:r>
      <w:r>
        <w:rPr>
          <w:rFonts w:hint="eastAsia" w:ascii="宋体" w:hAnsi="宋体" w:cs="宋体"/>
          <w:sz w:val="21"/>
          <w:szCs w:val="21"/>
        </w:rPr>
        <w:t>的招标项目的潜在投标人应在“苏采云”系统内免费下载（投标人必须在苏采云系统中获取采购文件，方能参与政府采购项目）获取招标文件，</w:t>
      </w:r>
      <w:r>
        <w:rPr>
          <w:rFonts w:hint="eastAsia" w:ascii="宋体" w:hAnsi="宋体" w:cs="宋体"/>
          <w:color w:val="auto"/>
          <w:sz w:val="21"/>
          <w:szCs w:val="21"/>
        </w:rPr>
        <w:t>并</w:t>
      </w:r>
      <w:r>
        <w:rPr>
          <w:rFonts w:hint="eastAsia" w:ascii="宋体" w:hAnsi="宋体" w:cs="宋体"/>
          <w:color w:val="auto"/>
          <w:sz w:val="21"/>
          <w:szCs w:val="21"/>
          <w:highlight w:val="none"/>
        </w:rPr>
        <w:t>于 202</w:t>
      </w:r>
      <w:r>
        <w:rPr>
          <w:rFonts w:hint="eastAsia" w:ascii="宋体" w:hAnsi="宋体" w:cs="宋体"/>
          <w:color w:val="auto"/>
          <w:sz w:val="21"/>
          <w:szCs w:val="21"/>
          <w:highlight w:val="none"/>
          <w:lang w:val="en-US" w:eastAsia="zh-CN"/>
        </w:rPr>
        <w:t>6</w:t>
      </w:r>
      <w:r>
        <w:rPr>
          <w:rFonts w:hint="eastAsia" w:ascii="宋体" w:hAnsi="宋体" w:cs="宋体"/>
          <w:color w:val="auto"/>
          <w:sz w:val="21"/>
          <w:szCs w:val="21"/>
          <w:highlight w:val="none"/>
        </w:rPr>
        <w:t>年</w:t>
      </w:r>
      <w:r>
        <w:rPr>
          <w:rFonts w:hint="eastAsia" w:ascii="宋体" w:hAnsi="宋体" w:cs="宋体"/>
          <w:color w:val="auto"/>
          <w:sz w:val="21"/>
          <w:szCs w:val="21"/>
          <w:highlight w:val="none"/>
          <w:lang w:val="en-US" w:eastAsia="zh-CN"/>
        </w:rPr>
        <w:t>5</w:t>
      </w:r>
      <w:r>
        <w:rPr>
          <w:rFonts w:hint="eastAsia" w:ascii="宋体" w:hAnsi="宋体" w:cs="宋体"/>
          <w:color w:val="auto"/>
          <w:sz w:val="21"/>
          <w:szCs w:val="21"/>
          <w:highlight w:val="none"/>
        </w:rPr>
        <w:t>月</w:t>
      </w:r>
      <w:r>
        <w:rPr>
          <w:rFonts w:hint="eastAsia" w:ascii="宋体" w:hAnsi="宋体" w:cs="宋体"/>
          <w:color w:val="auto"/>
          <w:sz w:val="21"/>
          <w:szCs w:val="21"/>
          <w:highlight w:val="none"/>
          <w:lang w:val="en-US" w:eastAsia="zh-CN"/>
        </w:rPr>
        <w:t>8</w:t>
      </w:r>
      <w:r>
        <w:rPr>
          <w:rFonts w:hint="eastAsia" w:ascii="宋体" w:hAnsi="宋体" w:cs="宋体"/>
          <w:color w:val="auto"/>
          <w:sz w:val="21"/>
          <w:szCs w:val="21"/>
          <w:highlight w:val="none"/>
        </w:rPr>
        <w:t>日</w:t>
      </w:r>
      <w:r>
        <w:rPr>
          <w:rFonts w:hint="eastAsia" w:ascii="宋体" w:hAnsi="宋体" w:cs="宋体"/>
          <w:color w:val="auto"/>
          <w:sz w:val="21"/>
          <w:szCs w:val="21"/>
          <w:highlight w:val="none"/>
          <w:lang w:val="en-US" w:eastAsia="zh-CN"/>
        </w:rPr>
        <w:t>9时</w:t>
      </w:r>
      <w:r>
        <w:rPr>
          <w:rFonts w:hint="eastAsia" w:ascii="宋体" w:hAnsi="宋体" w:cs="宋体"/>
          <w:color w:val="auto"/>
          <w:sz w:val="21"/>
          <w:szCs w:val="21"/>
          <w:highlight w:val="none"/>
        </w:rPr>
        <w:t>00分</w:t>
      </w:r>
      <w:r>
        <w:rPr>
          <w:rFonts w:hint="eastAsia" w:ascii="宋体" w:hAnsi="宋体" w:cs="宋体"/>
          <w:color w:val="auto"/>
          <w:sz w:val="21"/>
          <w:szCs w:val="21"/>
        </w:rPr>
        <w:t>（北京时间</w:t>
      </w:r>
      <w:r>
        <w:rPr>
          <w:rFonts w:hint="eastAsia" w:ascii="宋体" w:hAnsi="宋体" w:cs="宋体"/>
          <w:sz w:val="21"/>
          <w:szCs w:val="21"/>
        </w:rPr>
        <w:t>）前递交投标文件。</w:t>
      </w:r>
    </w:p>
    <w:p w14:paraId="024C74C0">
      <w:pPr>
        <w:spacing w:line="500" w:lineRule="exact"/>
        <w:ind w:firstLine="482"/>
        <w:rPr>
          <w:rFonts w:hint="eastAsia" w:ascii="宋体" w:hAnsi="宋体" w:cs="宋体"/>
          <w:b/>
          <w:bCs/>
          <w:sz w:val="21"/>
          <w:szCs w:val="21"/>
        </w:rPr>
      </w:pPr>
      <w:bookmarkStart w:id="6" w:name="_Toc28359002"/>
      <w:bookmarkStart w:id="7" w:name="_Toc35393790"/>
      <w:bookmarkStart w:id="8" w:name="_Toc28359079"/>
      <w:bookmarkStart w:id="9" w:name="_Toc35393621"/>
      <w:bookmarkStart w:id="10" w:name="_Hlk24379207"/>
      <w:r>
        <w:rPr>
          <w:rFonts w:hint="eastAsia" w:ascii="宋体" w:hAnsi="宋体" w:cs="宋体"/>
          <w:b/>
          <w:bCs/>
          <w:sz w:val="21"/>
          <w:szCs w:val="21"/>
        </w:rPr>
        <w:t>一、项目基本情况</w:t>
      </w:r>
      <w:bookmarkEnd w:id="6"/>
      <w:bookmarkEnd w:id="7"/>
      <w:bookmarkEnd w:id="8"/>
      <w:bookmarkEnd w:id="9"/>
    </w:p>
    <w:p w14:paraId="30C0DC46">
      <w:pPr>
        <w:keepLines w:val="0"/>
        <w:pageBreakBefore w:val="0"/>
        <w:spacing w:line="460" w:lineRule="exact"/>
        <w:ind w:firstLine="480"/>
        <w:rPr>
          <w:rFonts w:hint="default" w:ascii="宋体" w:hAnsi="宋体" w:cs="宋体"/>
          <w:sz w:val="21"/>
          <w:szCs w:val="21"/>
          <w:highlight w:val="yellow"/>
          <w:u w:val="none"/>
          <w:lang w:val="en-US" w:eastAsia="zh-CN"/>
        </w:rPr>
      </w:pPr>
      <w:r>
        <w:rPr>
          <w:rFonts w:hint="eastAsia" w:ascii="宋体" w:hAnsi="宋体" w:cs="宋体"/>
          <w:sz w:val="21"/>
          <w:szCs w:val="21"/>
          <w:lang w:val="en-US" w:eastAsia="zh-CN"/>
        </w:rPr>
        <w:t>1.</w:t>
      </w:r>
      <w:r>
        <w:rPr>
          <w:rFonts w:hint="eastAsia" w:ascii="宋体" w:hAnsi="宋体" w:cs="宋体"/>
          <w:sz w:val="21"/>
          <w:szCs w:val="21"/>
        </w:rPr>
        <w:t>项目编号：</w:t>
      </w:r>
      <w:r>
        <w:rPr>
          <w:rFonts w:hint="eastAsia" w:ascii="宋体" w:hAnsi="宋体" w:cs="宋体"/>
          <w:sz w:val="21"/>
          <w:szCs w:val="21"/>
          <w:highlight w:val="none"/>
          <w:u w:val="single"/>
          <w:lang w:val="en-US" w:eastAsia="zh-CN"/>
        </w:rPr>
        <w:t>JSZC-320904-YCMY-G2026-0001</w:t>
      </w:r>
    </w:p>
    <w:p w14:paraId="7B40CDAD">
      <w:pPr>
        <w:keepLines w:val="0"/>
        <w:pageBreakBefore w:val="0"/>
        <w:spacing w:line="460" w:lineRule="exact"/>
        <w:ind w:firstLine="480"/>
        <w:rPr>
          <w:rFonts w:hint="eastAsia" w:ascii="宋体" w:hAnsi="宋体" w:eastAsia="宋体" w:cs="宋体"/>
          <w:sz w:val="21"/>
          <w:szCs w:val="21"/>
        </w:rPr>
      </w:pPr>
      <w:r>
        <w:rPr>
          <w:rFonts w:hint="eastAsia" w:ascii="宋体" w:hAnsi="宋体" w:cs="宋体"/>
          <w:sz w:val="21"/>
          <w:szCs w:val="21"/>
          <w:lang w:val="en-US" w:eastAsia="zh-CN"/>
        </w:rPr>
        <w:t>2.</w:t>
      </w:r>
      <w:r>
        <w:rPr>
          <w:rFonts w:hint="eastAsia" w:ascii="宋体" w:hAnsi="宋体" w:eastAsia="宋体" w:cs="宋体"/>
          <w:sz w:val="21"/>
          <w:szCs w:val="21"/>
        </w:rPr>
        <w:t>项目名称：</w:t>
      </w:r>
      <w:bookmarkEnd w:id="10"/>
      <w:r>
        <w:rPr>
          <w:rFonts w:hint="eastAsia" w:ascii="宋体" w:hAnsi="宋体" w:cs="宋体"/>
          <w:sz w:val="21"/>
          <w:szCs w:val="21"/>
          <w:lang w:eastAsia="zh-CN"/>
        </w:rPr>
        <w:t>盐城市大丰区2026年斗龙港水面漂浮物打捞服务项目</w:t>
      </w:r>
    </w:p>
    <w:p w14:paraId="5EAB9C95">
      <w:pPr>
        <w:keepLines w:val="0"/>
        <w:pageBreakBefore w:val="0"/>
        <w:spacing w:line="460" w:lineRule="exact"/>
        <w:ind w:firstLine="480"/>
        <w:rPr>
          <w:rFonts w:hint="eastAsia" w:ascii="宋体" w:hAnsi="宋体" w:eastAsia="宋体" w:cs="宋体"/>
          <w:sz w:val="21"/>
          <w:szCs w:val="21"/>
          <w:lang w:eastAsia="zh-CN"/>
        </w:rPr>
      </w:pPr>
      <w:r>
        <w:rPr>
          <w:rFonts w:hint="eastAsia" w:ascii="宋体" w:hAnsi="宋体" w:cs="宋体"/>
          <w:sz w:val="21"/>
          <w:szCs w:val="21"/>
          <w:lang w:val="en-US" w:eastAsia="zh-CN"/>
        </w:rPr>
        <w:t>3.</w:t>
      </w:r>
      <w:r>
        <w:rPr>
          <w:rFonts w:hint="eastAsia" w:ascii="宋体" w:hAnsi="宋体" w:eastAsia="宋体" w:cs="宋体"/>
          <w:sz w:val="21"/>
          <w:szCs w:val="21"/>
        </w:rPr>
        <w:t>预算金额</w:t>
      </w:r>
      <w:r>
        <w:rPr>
          <w:rFonts w:hint="eastAsia" w:ascii="宋体" w:hAnsi="宋体" w:eastAsia="宋体" w:cs="宋体"/>
          <w:sz w:val="21"/>
          <w:szCs w:val="21"/>
          <w:highlight w:val="none"/>
        </w:rPr>
        <w:t>：</w:t>
      </w:r>
      <w:r>
        <w:rPr>
          <w:rFonts w:hint="eastAsia" w:ascii="宋体" w:hAnsi="宋体" w:cs="宋体"/>
          <w:sz w:val="21"/>
          <w:szCs w:val="21"/>
          <w:highlight w:val="none"/>
          <w:lang w:val="en-US" w:eastAsia="zh-CN"/>
        </w:rPr>
        <w:t>220</w:t>
      </w:r>
      <w:r>
        <w:rPr>
          <w:rFonts w:hint="eastAsia" w:ascii="宋体" w:hAnsi="宋体" w:eastAsia="宋体" w:cs="宋体"/>
          <w:sz w:val="21"/>
          <w:szCs w:val="21"/>
          <w:highlight w:val="none"/>
          <w:lang w:eastAsia="zh-CN"/>
        </w:rPr>
        <w:t>万元</w:t>
      </w:r>
    </w:p>
    <w:p w14:paraId="434CB892">
      <w:pPr>
        <w:keepLines w:val="0"/>
        <w:pageBreakBefore w:val="0"/>
        <w:spacing w:line="460" w:lineRule="exact"/>
        <w:ind w:firstLine="480"/>
        <w:rPr>
          <w:rFonts w:hint="eastAsia" w:ascii="宋体" w:hAnsi="宋体" w:eastAsia="宋体" w:cs="宋体"/>
          <w:sz w:val="21"/>
          <w:szCs w:val="21"/>
          <w:highlight w:val="none"/>
        </w:rPr>
      </w:pPr>
      <w:r>
        <w:rPr>
          <w:rFonts w:hint="eastAsia" w:ascii="宋体" w:hAnsi="宋体" w:cs="宋体"/>
          <w:sz w:val="21"/>
          <w:szCs w:val="21"/>
          <w:lang w:val="en-US" w:eastAsia="zh-CN"/>
        </w:rPr>
        <w:t>4.</w:t>
      </w:r>
      <w:r>
        <w:rPr>
          <w:rFonts w:hint="eastAsia" w:ascii="宋体" w:hAnsi="宋体" w:eastAsia="宋体" w:cs="宋体"/>
          <w:sz w:val="21"/>
          <w:szCs w:val="21"/>
        </w:rPr>
        <w:t>最高</w:t>
      </w:r>
      <w:r>
        <w:rPr>
          <w:rFonts w:hint="eastAsia" w:ascii="宋体" w:hAnsi="宋体" w:eastAsia="宋体" w:cs="宋体"/>
          <w:sz w:val="21"/>
          <w:szCs w:val="21"/>
          <w:highlight w:val="none"/>
        </w:rPr>
        <w:t>限价：</w:t>
      </w:r>
      <w:r>
        <w:rPr>
          <w:rFonts w:hint="eastAsia" w:ascii="宋体" w:hAnsi="宋体" w:cs="宋体"/>
          <w:b/>
          <w:bCs/>
          <w:sz w:val="21"/>
          <w:szCs w:val="21"/>
          <w:highlight w:val="none"/>
          <w:lang w:val="en-US" w:eastAsia="zh-CN"/>
        </w:rPr>
        <w:t>218</w:t>
      </w:r>
      <w:r>
        <w:rPr>
          <w:rFonts w:hint="eastAsia" w:ascii="宋体" w:hAnsi="宋体" w:eastAsia="宋体" w:cs="宋体"/>
          <w:b/>
          <w:bCs/>
          <w:sz w:val="21"/>
          <w:szCs w:val="21"/>
          <w:highlight w:val="none"/>
          <w:lang w:eastAsia="zh-CN"/>
        </w:rPr>
        <w:t>万元</w:t>
      </w:r>
    </w:p>
    <w:p w14:paraId="5C1CAA2B">
      <w:pPr>
        <w:keepLines w:val="0"/>
        <w:pageBreakBefore w:val="0"/>
        <w:spacing w:line="460" w:lineRule="exact"/>
        <w:ind w:firstLine="480"/>
        <w:rPr>
          <w:rFonts w:hint="eastAsia" w:ascii="宋体" w:hAnsi="宋体" w:cs="宋体"/>
          <w:sz w:val="21"/>
          <w:szCs w:val="21"/>
          <w:highlight w:val="none"/>
          <w:lang w:eastAsia="zh-CN"/>
        </w:rPr>
      </w:pPr>
      <w:bookmarkStart w:id="11" w:name="_Toc28359005"/>
      <w:bookmarkStart w:id="12" w:name="_Toc35393793"/>
      <w:bookmarkStart w:id="13" w:name="_Toc28359082"/>
      <w:bookmarkStart w:id="14" w:name="_Toc35393624"/>
      <w:r>
        <w:rPr>
          <w:rFonts w:hint="eastAsia" w:ascii="宋体" w:hAnsi="宋体" w:cs="宋体"/>
          <w:sz w:val="21"/>
          <w:szCs w:val="21"/>
          <w:highlight w:val="none"/>
          <w:lang w:val="en-US" w:eastAsia="zh-CN"/>
        </w:rPr>
        <w:t>5.</w:t>
      </w:r>
      <w:r>
        <w:rPr>
          <w:rFonts w:hint="eastAsia" w:ascii="宋体" w:hAnsi="宋体" w:eastAsia="宋体" w:cs="宋体"/>
          <w:sz w:val="21"/>
          <w:szCs w:val="21"/>
          <w:highlight w:val="none"/>
        </w:rPr>
        <w:t>采购需求：</w:t>
      </w:r>
      <w:bookmarkStart w:id="15" w:name="_Toc35393791"/>
      <w:bookmarkStart w:id="16" w:name="_Toc28359080"/>
      <w:bookmarkStart w:id="17" w:name="_Toc28359003"/>
      <w:bookmarkStart w:id="18" w:name="_Toc35393622"/>
      <w:r>
        <w:rPr>
          <w:rFonts w:hint="eastAsia" w:ascii="宋体" w:hAnsi="宋体" w:cs="宋体"/>
          <w:color w:val="auto"/>
          <w:sz w:val="21"/>
          <w:szCs w:val="21"/>
          <w:highlight w:val="none"/>
          <w:lang w:eastAsia="zh-CN"/>
        </w:rPr>
        <w:t>保洁范围为斗龙港河大丰区境内河段及其支河拦挡（或闸、站）外漂浮物打捞。涉及乡镇包括新河-</w:t>
      </w:r>
      <w:r>
        <w:rPr>
          <w:rFonts w:hint="eastAsia" w:ascii="宋体" w:hAnsi="宋体" w:cs="宋体"/>
          <w:color w:val="auto"/>
          <w:sz w:val="21"/>
          <w:szCs w:val="21"/>
          <w:highlight w:val="none"/>
          <w:lang w:val="en-US" w:eastAsia="zh-CN"/>
        </w:rPr>
        <w:t>串场</w:t>
      </w:r>
      <w:r>
        <w:rPr>
          <w:rFonts w:hint="eastAsia" w:ascii="宋体" w:hAnsi="宋体" w:cs="宋体"/>
          <w:color w:val="auto"/>
          <w:sz w:val="21"/>
          <w:szCs w:val="21"/>
          <w:highlight w:val="none"/>
          <w:lang w:eastAsia="zh-CN"/>
        </w:rPr>
        <w:t>河10.3公里、</w:t>
      </w:r>
      <w:r>
        <w:rPr>
          <w:rFonts w:hint="eastAsia" w:ascii="宋体" w:hAnsi="宋体" w:cs="宋体"/>
          <w:color w:val="auto"/>
          <w:sz w:val="21"/>
          <w:szCs w:val="21"/>
          <w:highlight w:val="none"/>
          <w:lang w:val="en-US" w:eastAsia="zh-CN"/>
        </w:rPr>
        <w:t>串场</w:t>
      </w:r>
      <w:r>
        <w:rPr>
          <w:rFonts w:hint="eastAsia" w:ascii="宋体" w:hAnsi="宋体" w:cs="宋体"/>
          <w:color w:val="auto"/>
          <w:sz w:val="21"/>
          <w:szCs w:val="21"/>
          <w:highlight w:val="none"/>
          <w:lang w:eastAsia="zh-CN"/>
        </w:rPr>
        <w:t>河-与三龙交界处25.5公里、与新丰交界-斗龙港闸14.4公里。采取近岸拦截打捞和流动打捞相结合的方式，确保打捞断面无集聚性水面漂浮物，无漂浮物出境。具体招标范围、服务要求详见本项目采购需求。</w:t>
      </w:r>
    </w:p>
    <w:p w14:paraId="187613F0">
      <w:pPr>
        <w:keepLines w:val="0"/>
        <w:pageBreakBefore w:val="0"/>
        <w:spacing w:line="460" w:lineRule="exact"/>
        <w:ind w:firstLine="480"/>
        <w:rPr>
          <w:rFonts w:hint="eastAsia" w:ascii="宋体" w:hAnsi="宋体" w:eastAsia="宋体" w:cs="宋体"/>
          <w:sz w:val="21"/>
          <w:szCs w:val="21"/>
          <w:lang w:eastAsia="zh-CN"/>
        </w:rPr>
      </w:pPr>
      <w:r>
        <w:rPr>
          <w:rFonts w:hint="eastAsia" w:ascii="宋体" w:hAnsi="宋体" w:cs="宋体"/>
          <w:sz w:val="21"/>
          <w:szCs w:val="21"/>
          <w:lang w:val="en-US" w:eastAsia="zh-CN"/>
        </w:rPr>
        <w:t>6.</w:t>
      </w:r>
      <w:r>
        <w:rPr>
          <w:rFonts w:hint="eastAsia" w:ascii="宋体" w:hAnsi="宋体" w:eastAsia="宋体" w:cs="宋体"/>
          <w:sz w:val="21"/>
          <w:szCs w:val="21"/>
          <w:lang w:eastAsia="zh-CN"/>
        </w:rPr>
        <w:t>服务期限要求</w:t>
      </w:r>
      <w:r>
        <w:rPr>
          <w:rFonts w:hint="eastAsia" w:ascii="宋体" w:hAnsi="宋体" w:cs="宋体"/>
          <w:sz w:val="21"/>
          <w:szCs w:val="21"/>
          <w:lang w:eastAsia="zh-CN"/>
        </w:rPr>
        <w:t>：</w:t>
      </w:r>
      <w:r>
        <w:rPr>
          <w:rFonts w:hint="eastAsia" w:ascii="宋体" w:hAnsi="宋体" w:eastAsia="宋体" w:cs="宋体"/>
          <w:sz w:val="21"/>
          <w:szCs w:val="21"/>
          <w:lang w:eastAsia="zh-CN"/>
        </w:rPr>
        <w:t>合同签订后12个月。</w:t>
      </w:r>
    </w:p>
    <w:p w14:paraId="1F9029AD">
      <w:pPr>
        <w:keepLines w:val="0"/>
        <w:pageBreakBefore w:val="0"/>
        <w:spacing w:line="460" w:lineRule="exact"/>
        <w:ind w:firstLine="480"/>
        <w:rPr>
          <w:rFonts w:hint="eastAsia" w:ascii="宋体" w:hAnsi="宋体" w:eastAsia="宋体" w:cs="宋体"/>
          <w:sz w:val="21"/>
          <w:szCs w:val="21"/>
          <w:lang w:eastAsia="zh-CN"/>
        </w:rPr>
      </w:pPr>
      <w:r>
        <w:rPr>
          <w:rFonts w:hint="eastAsia" w:ascii="宋体" w:hAnsi="宋体" w:cs="宋体"/>
          <w:sz w:val="21"/>
          <w:szCs w:val="21"/>
          <w:lang w:val="en-US" w:eastAsia="zh-CN"/>
        </w:rPr>
        <w:t>7.</w:t>
      </w:r>
      <w:r>
        <w:rPr>
          <w:rFonts w:hint="eastAsia" w:ascii="宋体" w:hAnsi="宋体" w:eastAsia="宋体" w:cs="宋体"/>
          <w:sz w:val="21"/>
          <w:szCs w:val="21"/>
          <w:lang w:eastAsia="zh-CN"/>
        </w:rPr>
        <w:t>资金来源：财政</w:t>
      </w:r>
      <w:r>
        <w:rPr>
          <w:rFonts w:hint="eastAsia" w:ascii="宋体" w:hAnsi="宋体" w:eastAsia="宋体" w:cs="宋体"/>
          <w:sz w:val="21"/>
          <w:szCs w:val="21"/>
          <w:lang w:val="en-US" w:eastAsia="zh-CN"/>
        </w:rPr>
        <w:t>资金</w:t>
      </w:r>
      <w:r>
        <w:rPr>
          <w:rFonts w:hint="eastAsia" w:ascii="宋体" w:hAnsi="宋体" w:eastAsia="宋体" w:cs="宋体"/>
          <w:sz w:val="21"/>
          <w:szCs w:val="21"/>
          <w:lang w:eastAsia="zh-CN"/>
        </w:rPr>
        <w:t>。</w:t>
      </w:r>
    </w:p>
    <w:p w14:paraId="0C0ED9E2">
      <w:pPr>
        <w:keepLines w:val="0"/>
        <w:pageBreakBefore w:val="0"/>
        <w:spacing w:line="460" w:lineRule="exact"/>
        <w:ind w:firstLine="480"/>
        <w:rPr>
          <w:rFonts w:hint="eastAsia" w:ascii="宋体" w:hAnsi="宋体" w:eastAsia="宋体" w:cs="宋体"/>
          <w:sz w:val="21"/>
          <w:szCs w:val="21"/>
          <w:lang w:eastAsia="zh-CN"/>
        </w:rPr>
      </w:pPr>
      <w:r>
        <w:rPr>
          <w:rFonts w:hint="eastAsia" w:ascii="宋体" w:hAnsi="宋体" w:cs="宋体"/>
          <w:sz w:val="21"/>
          <w:szCs w:val="21"/>
          <w:lang w:val="en-US" w:eastAsia="zh-CN"/>
        </w:rPr>
        <w:t>8.</w:t>
      </w:r>
      <w:r>
        <w:rPr>
          <w:rFonts w:hint="eastAsia" w:ascii="宋体" w:hAnsi="宋体" w:eastAsia="宋体" w:cs="宋体"/>
          <w:sz w:val="21"/>
          <w:szCs w:val="21"/>
          <w:lang w:eastAsia="zh-CN"/>
        </w:rPr>
        <w:t>本项目</w:t>
      </w:r>
      <w:r>
        <w:rPr>
          <w:rFonts w:hint="eastAsia" w:ascii="宋体" w:hAnsi="宋体" w:eastAsia="宋体" w:cs="宋体"/>
          <w:sz w:val="21"/>
          <w:szCs w:val="21"/>
          <w:u w:val="single"/>
          <w:lang w:eastAsia="zh-CN"/>
        </w:rPr>
        <w:t>不接受</w:t>
      </w:r>
      <w:r>
        <w:rPr>
          <w:rFonts w:hint="eastAsia" w:ascii="宋体" w:hAnsi="宋体" w:eastAsia="宋体" w:cs="宋体"/>
          <w:sz w:val="21"/>
          <w:szCs w:val="21"/>
          <w:lang w:eastAsia="zh-CN"/>
        </w:rPr>
        <w:t>联合体投标。</w:t>
      </w:r>
    </w:p>
    <w:p w14:paraId="375AE272">
      <w:pPr>
        <w:keepLines w:val="0"/>
        <w:pageBreakBefore w:val="0"/>
        <w:spacing w:line="460" w:lineRule="exact"/>
        <w:ind w:firstLine="482"/>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二、申请人的资格要求：</w:t>
      </w:r>
      <w:bookmarkEnd w:id="15"/>
      <w:bookmarkEnd w:id="16"/>
      <w:bookmarkEnd w:id="17"/>
      <w:bookmarkEnd w:id="18"/>
    </w:p>
    <w:p w14:paraId="4084CDC7">
      <w:pPr>
        <w:keepLines w:val="0"/>
        <w:pageBreakBefore w:val="0"/>
        <w:spacing w:line="460" w:lineRule="exact"/>
        <w:ind w:firstLine="480"/>
        <w:rPr>
          <w:rFonts w:hint="eastAsia" w:ascii="宋体" w:hAnsi="宋体" w:eastAsia="宋体" w:cs="宋体"/>
          <w:sz w:val="21"/>
          <w:szCs w:val="21"/>
          <w:lang w:eastAsia="zh-CN"/>
        </w:rPr>
      </w:pPr>
      <w:bookmarkStart w:id="19" w:name="_Toc28359004"/>
      <w:bookmarkStart w:id="20" w:name="_Toc28359081"/>
      <w:bookmarkStart w:id="21" w:name="_Toc35393623"/>
      <w:bookmarkStart w:id="22" w:name="_Toc35393792"/>
      <w:r>
        <w:rPr>
          <w:rFonts w:hint="eastAsia" w:ascii="宋体" w:hAnsi="宋体" w:eastAsia="宋体" w:cs="宋体"/>
          <w:sz w:val="21"/>
          <w:szCs w:val="21"/>
          <w:lang w:eastAsia="zh-CN"/>
        </w:rPr>
        <w:t>1.满足《中华人民共和国政府采购法》第二十二条规定，并提供下列材料：</w:t>
      </w:r>
    </w:p>
    <w:p w14:paraId="5D4AD9F9">
      <w:pPr>
        <w:keepLines w:val="0"/>
        <w:pageBreakBefore w:val="0"/>
        <w:spacing w:line="460" w:lineRule="exact"/>
        <w:ind w:firstLine="480"/>
        <w:rPr>
          <w:rFonts w:hint="eastAsia" w:ascii="宋体" w:hAnsi="宋体" w:eastAsia="宋体" w:cs="宋体"/>
          <w:sz w:val="21"/>
          <w:szCs w:val="21"/>
          <w:lang w:eastAsia="zh-CN"/>
        </w:rPr>
      </w:pPr>
      <w:r>
        <w:rPr>
          <w:rFonts w:hint="eastAsia" w:ascii="宋体" w:hAnsi="宋体" w:eastAsia="宋体" w:cs="宋体"/>
          <w:sz w:val="21"/>
          <w:szCs w:val="21"/>
          <w:lang w:eastAsia="zh-CN"/>
        </w:rPr>
        <w:t>1.1 法人或者其他组织的营业执照等证明文件，自然人的身份证明；</w:t>
      </w:r>
    </w:p>
    <w:p w14:paraId="497EE24C">
      <w:pPr>
        <w:keepLines w:val="0"/>
        <w:pageBreakBefore w:val="0"/>
        <w:spacing w:line="460" w:lineRule="exact"/>
        <w:ind w:firstLine="480"/>
        <w:rPr>
          <w:rFonts w:hint="eastAsia" w:ascii="宋体" w:hAnsi="宋体" w:eastAsia="宋体" w:cs="宋体"/>
          <w:sz w:val="21"/>
          <w:szCs w:val="21"/>
          <w:lang w:eastAsia="zh-CN"/>
        </w:rPr>
      </w:pPr>
      <w:r>
        <w:rPr>
          <w:rFonts w:hint="eastAsia" w:ascii="宋体" w:hAnsi="宋体" w:eastAsia="宋体" w:cs="宋体"/>
          <w:sz w:val="21"/>
          <w:szCs w:val="21"/>
          <w:lang w:eastAsia="zh-CN"/>
        </w:rPr>
        <w:t>1.2</w:t>
      </w:r>
      <w:r>
        <w:rPr>
          <w:rFonts w:hint="eastAsia" w:ascii="宋体" w:hAnsi="宋体" w:cs="宋体"/>
          <w:sz w:val="21"/>
          <w:szCs w:val="21"/>
          <w:lang w:val="en-US" w:eastAsia="zh-CN"/>
        </w:rPr>
        <w:t xml:space="preserve"> </w:t>
      </w:r>
      <w:r>
        <w:rPr>
          <w:rFonts w:hint="eastAsia" w:ascii="宋体" w:hAnsi="宋体" w:eastAsia="宋体" w:cs="宋体"/>
          <w:sz w:val="21"/>
          <w:szCs w:val="21"/>
          <w:lang w:eastAsia="zh-CN"/>
        </w:rPr>
        <w:t>上一年度的财务状况报表（成立不满一年无需提供）；</w:t>
      </w:r>
    </w:p>
    <w:p w14:paraId="26976F8D">
      <w:pPr>
        <w:keepLines w:val="0"/>
        <w:pageBreakBefore w:val="0"/>
        <w:spacing w:line="460" w:lineRule="exact"/>
        <w:ind w:firstLine="48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1.3</w:t>
      </w:r>
      <w:r>
        <w:rPr>
          <w:rFonts w:hint="eastAsia" w:ascii="宋体" w:hAnsi="宋体" w:eastAsia="宋体" w:cs="宋体"/>
          <w:sz w:val="21"/>
          <w:szCs w:val="21"/>
          <w:lang w:eastAsia="zh-CN"/>
        </w:rPr>
        <w:t>具备履行合同所必需的设备和专业技术能力的书面声明；</w:t>
      </w:r>
    </w:p>
    <w:p w14:paraId="6E256123">
      <w:pPr>
        <w:keepLines w:val="0"/>
        <w:pageBreakBefore w:val="0"/>
        <w:spacing w:line="460" w:lineRule="exact"/>
        <w:ind w:firstLine="480"/>
        <w:rPr>
          <w:rFonts w:hint="eastAsia" w:ascii="宋体" w:hAnsi="宋体" w:eastAsia="宋体" w:cs="宋体"/>
          <w:sz w:val="21"/>
          <w:szCs w:val="21"/>
          <w:lang w:eastAsia="zh-CN"/>
        </w:rPr>
      </w:pPr>
      <w:r>
        <w:rPr>
          <w:rFonts w:hint="eastAsia" w:ascii="宋体" w:hAnsi="宋体" w:eastAsia="宋体" w:cs="宋体"/>
          <w:sz w:val="21"/>
          <w:szCs w:val="21"/>
          <w:lang w:eastAsia="zh-CN"/>
        </w:rPr>
        <w:t>1.</w:t>
      </w:r>
      <w:r>
        <w:rPr>
          <w:rFonts w:hint="eastAsia" w:ascii="宋体" w:hAnsi="宋体" w:eastAsia="宋体" w:cs="宋体"/>
          <w:sz w:val="21"/>
          <w:szCs w:val="21"/>
          <w:lang w:val="en-US" w:eastAsia="zh-CN"/>
        </w:rPr>
        <w:t>4</w:t>
      </w:r>
      <w:r>
        <w:rPr>
          <w:rFonts w:hint="eastAsia" w:ascii="宋体" w:hAnsi="宋体" w:eastAsia="宋体" w:cs="宋体"/>
          <w:sz w:val="21"/>
          <w:szCs w:val="21"/>
          <w:lang w:eastAsia="zh-CN"/>
        </w:rPr>
        <w:t>依法缴纳税收和社会保障资金的相关材料；</w:t>
      </w:r>
    </w:p>
    <w:p w14:paraId="48F2D34A">
      <w:pPr>
        <w:keepLines w:val="0"/>
        <w:pageBreakBefore w:val="0"/>
        <w:spacing w:line="460" w:lineRule="exact"/>
        <w:ind w:firstLine="480"/>
        <w:rPr>
          <w:rFonts w:hint="eastAsia" w:ascii="宋体" w:hAnsi="宋体" w:eastAsia="宋体" w:cs="宋体"/>
          <w:sz w:val="21"/>
          <w:szCs w:val="21"/>
          <w:lang w:eastAsia="zh-CN"/>
        </w:rPr>
      </w:pPr>
      <w:r>
        <w:rPr>
          <w:rFonts w:hint="eastAsia" w:ascii="宋体" w:hAnsi="宋体" w:eastAsia="宋体" w:cs="宋体"/>
          <w:sz w:val="21"/>
          <w:szCs w:val="21"/>
          <w:lang w:val="en-US" w:eastAsia="zh-CN"/>
        </w:rPr>
        <w:t>1</w:t>
      </w:r>
      <w:r>
        <w:rPr>
          <w:rFonts w:hint="eastAsia" w:ascii="宋体" w:hAnsi="宋体" w:eastAsia="宋体" w:cs="宋体"/>
          <w:sz w:val="21"/>
          <w:szCs w:val="21"/>
          <w:lang w:eastAsia="zh-CN"/>
        </w:rPr>
        <w:t>.5参加政府采购活动前3年内在经营活动中没有重大违法记录的书面声明</w:t>
      </w:r>
      <w:r>
        <w:rPr>
          <w:rFonts w:hint="eastAsia" w:ascii="宋体" w:hAnsi="宋体" w:cs="宋体"/>
          <w:sz w:val="21"/>
          <w:szCs w:val="21"/>
          <w:lang w:eastAsia="zh-CN"/>
        </w:rPr>
        <w:t>；</w:t>
      </w:r>
    </w:p>
    <w:p w14:paraId="6685CA3A">
      <w:pPr>
        <w:keepLines w:val="0"/>
        <w:pageBreakBefore w:val="0"/>
        <w:spacing w:line="460" w:lineRule="exact"/>
        <w:ind w:firstLine="48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1.6法律、行政法规规定的其他条件</w:t>
      </w:r>
      <w:r>
        <w:rPr>
          <w:rFonts w:hint="eastAsia" w:ascii="宋体" w:hAnsi="宋体" w:cs="宋体"/>
          <w:sz w:val="21"/>
          <w:szCs w:val="21"/>
          <w:lang w:val="en-US" w:eastAsia="zh-CN"/>
        </w:rPr>
        <w:t>；</w:t>
      </w:r>
    </w:p>
    <w:p w14:paraId="56DD4D0C">
      <w:pPr>
        <w:keepLines w:val="0"/>
        <w:pageBreakBefore w:val="0"/>
        <w:spacing w:line="460" w:lineRule="exact"/>
        <w:ind w:firstLine="480"/>
        <w:rPr>
          <w:rFonts w:hint="eastAsia" w:ascii="宋体" w:hAnsi="宋体" w:eastAsia="宋体" w:cs="宋体"/>
          <w:sz w:val="21"/>
          <w:szCs w:val="21"/>
          <w:lang w:eastAsia="zh-CN"/>
        </w:rPr>
      </w:pPr>
      <w:r>
        <w:rPr>
          <w:rFonts w:hint="eastAsia" w:ascii="宋体" w:hAnsi="宋体" w:eastAsia="宋体" w:cs="宋体"/>
          <w:sz w:val="21"/>
          <w:szCs w:val="21"/>
          <w:lang w:val="en-US" w:eastAsia="zh-CN"/>
        </w:rPr>
        <w:t>1.7</w:t>
      </w:r>
      <w:r>
        <w:rPr>
          <w:rFonts w:hint="eastAsia" w:ascii="宋体" w:hAnsi="宋体" w:eastAsia="宋体" w:cs="宋体"/>
          <w:sz w:val="21"/>
          <w:szCs w:val="21"/>
          <w:lang w:eastAsia="zh-CN"/>
        </w:rPr>
        <w:t>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宋体" w:hAnsi="宋体" w:cs="宋体"/>
          <w:sz w:val="21"/>
          <w:szCs w:val="21"/>
          <w:lang w:eastAsia="zh-CN"/>
        </w:rPr>
        <w:t>；</w:t>
      </w:r>
    </w:p>
    <w:p w14:paraId="3D52495C">
      <w:pPr>
        <w:keepLines w:val="0"/>
        <w:pageBreakBefore w:val="0"/>
        <w:spacing w:line="460" w:lineRule="exact"/>
        <w:ind w:firstLine="480"/>
        <w:rPr>
          <w:rFonts w:hint="eastAsia" w:ascii="宋体" w:hAnsi="宋体" w:eastAsia="宋体" w:cs="宋体"/>
          <w:sz w:val="21"/>
          <w:szCs w:val="21"/>
          <w:lang w:eastAsia="zh-CN"/>
        </w:rPr>
      </w:pPr>
      <w:r>
        <w:rPr>
          <w:rFonts w:hint="eastAsia" w:ascii="宋体" w:hAnsi="宋体" w:eastAsia="宋体" w:cs="宋体"/>
          <w:sz w:val="21"/>
          <w:szCs w:val="21"/>
          <w:lang w:val="en-US" w:eastAsia="zh-CN"/>
        </w:rPr>
        <w:t>1.8</w:t>
      </w:r>
      <w:r>
        <w:rPr>
          <w:rFonts w:hint="eastAsia" w:ascii="宋体" w:hAnsi="宋体" w:eastAsia="宋体" w:cs="宋体"/>
          <w:sz w:val="21"/>
          <w:szCs w:val="21"/>
          <w:lang w:eastAsia="zh-CN"/>
        </w:rPr>
        <w:t>单位负责人为同一人或者存在直接控股、管理关系的不同供应商，不得参加同一合同项下的政府采购活动。</w:t>
      </w:r>
    </w:p>
    <w:p w14:paraId="20E7A14E">
      <w:pPr>
        <w:keepLines w:val="0"/>
        <w:pageBreakBefore w:val="0"/>
        <w:spacing w:line="460" w:lineRule="exact"/>
        <w:ind w:firstLine="480"/>
        <w:rPr>
          <w:rFonts w:hint="eastAsia" w:ascii="宋体" w:hAnsi="宋体" w:eastAsia="宋体" w:cs="宋体"/>
          <w:sz w:val="21"/>
          <w:szCs w:val="21"/>
          <w:lang w:eastAsia="zh-CN"/>
        </w:rPr>
      </w:pPr>
      <w:r>
        <w:rPr>
          <w:rFonts w:hint="eastAsia" w:ascii="宋体" w:hAnsi="宋体" w:eastAsia="宋体" w:cs="宋体"/>
          <w:sz w:val="21"/>
          <w:szCs w:val="21"/>
          <w:lang w:eastAsia="zh-CN"/>
        </w:rPr>
        <w:t>2.落实政府采购政策需满足的资格要求：对小型和微型企业产品的价格给予20%的扣除，用扣除后的价格参与评审，中小微企业划分标准以工信部、国家统计局、国家发改委、财政部《关于印发中小企业划型标准规定的通知》（工信部联企业{2011}300号）为准。</w:t>
      </w:r>
    </w:p>
    <w:p w14:paraId="79FFE931">
      <w:pPr>
        <w:keepLines w:val="0"/>
        <w:pageBreakBefore w:val="0"/>
        <w:spacing w:line="460" w:lineRule="exact"/>
        <w:ind w:firstLine="420" w:firstLineChars="200"/>
        <w:rPr>
          <w:rFonts w:hint="eastAsia" w:ascii="宋体" w:hAnsi="宋体" w:eastAsia="宋体" w:cs="宋体"/>
          <w:sz w:val="21"/>
          <w:szCs w:val="21"/>
          <w:lang w:eastAsia="zh-CN"/>
        </w:rPr>
      </w:pPr>
      <w:r>
        <w:rPr>
          <w:rFonts w:hint="eastAsia" w:ascii="宋体" w:hAnsi="宋体" w:eastAsia="宋体" w:cs="宋体"/>
          <w:sz w:val="21"/>
          <w:szCs w:val="21"/>
          <w:lang w:eastAsia="zh-CN"/>
        </w:rPr>
        <w:t>3.本项目的特定资格要求：</w:t>
      </w:r>
      <w:bookmarkEnd w:id="19"/>
      <w:bookmarkEnd w:id="20"/>
    </w:p>
    <w:p w14:paraId="3B4067C2">
      <w:pPr>
        <w:keepLines w:val="0"/>
        <w:pageBreakBefore w:val="0"/>
        <w:spacing w:line="460" w:lineRule="exact"/>
        <w:ind w:firstLine="420" w:firstLineChars="200"/>
        <w:rPr>
          <w:rFonts w:hint="eastAsia" w:ascii="宋体" w:hAnsi="宋体" w:eastAsia="宋体" w:cs="宋体"/>
          <w:b w:val="0"/>
          <w:bCs w:val="0"/>
          <w:color w:val="auto"/>
          <w:sz w:val="21"/>
          <w:szCs w:val="21"/>
          <w:highlight w:val="none"/>
          <w:lang w:eastAsia="zh-CN"/>
        </w:rPr>
      </w:pPr>
      <w:r>
        <w:rPr>
          <w:rFonts w:hint="eastAsia" w:ascii="宋体" w:hAnsi="宋体" w:eastAsia="宋体" w:cs="宋体"/>
          <w:color w:val="auto"/>
          <w:sz w:val="21"/>
          <w:szCs w:val="21"/>
          <w:highlight w:val="none"/>
          <w:lang w:eastAsia="zh-CN"/>
        </w:rPr>
        <w:t>（1）</w:t>
      </w:r>
      <w:r>
        <w:rPr>
          <w:rFonts w:hint="eastAsia" w:ascii="宋体" w:hAnsi="宋体" w:eastAsia="宋体" w:cs="宋体"/>
          <w:b w:val="0"/>
          <w:bCs w:val="0"/>
          <w:color w:val="auto"/>
          <w:sz w:val="21"/>
          <w:szCs w:val="21"/>
          <w:highlight w:val="none"/>
          <w:lang w:eastAsia="zh-CN"/>
        </w:rPr>
        <w:t>投标时，投标申请人须提供拟派的项目负责人、安全管理员从投标截止之日当月向前</w:t>
      </w:r>
      <w:r>
        <w:rPr>
          <w:rFonts w:hint="eastAsia" w:ascii="宋体" w:hAnsi="宋体" w:cs="宋体"/>
          <w:b w:val="0"/>
          <w:bCs w:val="0"/>
          <w:color w:val="auto"/>
          <w:sz w:val="21"/>
          <w:szCs w:val="21"/>
          <w:highlight w:val="none"/>
          <w:lang w:val="en-US" w:eastAsia="zh-CN"/>
        </w:rPr>
        <w:t>6</w:t>
      </w:r>
      <w:r>
        <w:rPr>
          <w:rFonts w:hint="eastAsia" w:ascii="宋体" w:hAnsi="宋体" w:eastAsia="宋体" w:cs="宋体"/>
          <w:b w:val="0"/>
          <w:bCs w:val="0"/>
          <w:color w:val="auto"/>
          <w:sz w:val="21"/>
          <w:szCs w:val="21"/>
          <w:highlight w:val="none"/>
          <w:lang w:eastAsia="zh-CN"/>
        </w:rPr>
        <w:t>个月</w:t>
      </w:r>
      <w:r>
        <w:rPr>
          <w:rFonts w:hint="eastAsia" w:ascii="宋体" w:hAnsi="宋体" w:cs="宋体"/>
          <w:b w:val="0"/>
          <w:bCs w:val="0"/>
          <w:color w:val="auto"/>
          <w:sz w:val="21"/>
          <w:szCs w:val="21"/>
          <w:highlight w:val="none"/>
          <w:lang w:val="en-US" w:eastAsia="zh-CN"/>
        </w:rPr>
        <w:t>内任意</w:t>
      </w:r>
      <w:r>
        <w:rPr>
          <w:rFonts w:hint="eastAsia" w:ascii="宋体" w:hAnsi="宋体" w:eastAsia="宋体" w:cs="宋体"/>
          <w:b w:val="0"/>
          <w:bCs w:val="0"/>
          <w:color w:val="auto"/>
          <w:sz w:val="21"/>
          <w:szCs w:val="21"/>
          <w:highlight w:val="none"/>
          <w:lang w:val="en-US" w:eastAsia="zh-CN"/>
        </w:rPr>
        <w:t>1个月的</w:t>
      </w:r>
      <w:r>
        <w:rPr>
          <w:rFonts w:hint="eastAsia" w:ascii="宋体" w:hAnsi="宋体" w:eastAsia="宋体" w:cs="宋体"/>
          <w:b w:val="0"/>
          <w:bCs w:val="0"/>
          <w:color w:val="auto"/>
          <w:sz w:val="21"/>
          <w:szCs w:val="21"/>
          <w:highlight w:val="none"/>
          <w:lang w:eastAsia="zh-CN"/>
        </w:rPr>
        <w:t>社保缴纳证明</w:t>
      </w:r>
      <w:r>
        <w:rPr>
          <w:rFonts w:hint="eastAsia" w:ascii="宋体" w:hAnsi="宋体" w:cs="宋体"/>
          <w:b w:val="0"/>
          <w:bCs w:val="0"/>
          <w:color w:val="auto"/>
          <w:sz w:val="21"/>
          <w:szCs w:val="21"/>
          <w:highlight w:val="none"/>
          <w:lang w:eastAsia="zh-CN"/>
        </w:rPr>
        <w:t>；安全管理员须提供</w:t>
      </w:r>
      <w:r>
        <w:rPr>
          <w:rFonts w:hint="eastAsia" w:ascii="宋体" w:hAnsi="宋体" w:eastAsia="宋体" w:cs="宋体"/>
          <w:b w:val="0"/>
          <w:bCs w:val="0"/>
          <w:color w:val="auto"/>
          <w:sz w:val="21"/>
          <w:szCs w:val="21"/>
          <w:highlight w:val="none"/>
          <w:lang w:eastAsia="zh-CN"/>
        </w:rPr>
        <w:t>相关安全管理证书。</w:t>
      </w:r>
    </w:p>
    <w:p w14:paraId="1876B26D">
      <w:pPr>
        <w:keepLines w:val="0"/>
        <w:pageBreakBefore w:val="0"/>
        <w:spacing w:line="460" w:lineRule="exact"/>
        <w:ind w:firstLine="480"/>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2</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投标人具有履行合同所需的设备和专业技术能力</w:t>
      </w:r>
      <w:r>
        <w:rPr>
          <w:rFonts w:hint="eastAsia" w:ascii="宋体" w:hAnsi="宋体" w:eastAsia="宋体" w:cs="宋体"/>
          <w:color w:val="auto"/>
          <w:sz w:val="21"/>
          <w:szCs w:val="21"/>
          <w:highlight w:val="none"/>
          <w:lang w:val="en-US" w:eastAsia="zh-CN"/>
        </w:rPr>
        <w:t>：</w:t>
      </w:r>
    </w:p>
    <w:p w14:paraId="0D9D8A1C">
      <w:pPr>
        <w:keepLines w:val="0"/>
        <w:pageBreakBefore w:val="0"/>
        <w:spacing w:line="460" w:lineRule="exact"/>
        <w:ind w:firstLine="48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A.所需设备：</w:t>
      </w:r>
    </w:p>
    <w:p w14:paraId="5ADEFAE8">
      <w:pPr>
        <w:keepLines w:val="0"/>
        <w:pageBreakBefore w:val="0"/>
        <w:spacing w:line="460" w:lineRule="exact"/>
        <w:ind w:firstLine="480"/>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a.全自动打捞保洁船</w:t>
      </w:r>
      <w:r>
        <w:rPr>
          <w:rFonts w:hint="eastAsia" w:ascii="宋体" w:hAnsi="宋体" w:eastAsia="宋体" w:cs="宋体"/>
          <w:b/>
          <w:bCs/>
          <w:color w:val="auto"/>
          <w:sz w:val="21"/>
          <w:szCs w:val="21"/>
          <w:highlight w:val="none"/>
          <w:lang w:val="en-US" w:eastAsia="zh-CN"/>
        </w:rPr>
        <w:t>6条</w:t>
      </w:r>
      <w:r>
        <w:rPr>
          <w:rFonts w:hint="eastAsia" w:ascii="宋体" w:hAnsi="宋体" w:eastAsia="宋体" w:cs="宋体"/>
          <w:color w:val="auto"/>
          <w:sz w:val="21"/>
          <w:szCs w:val="21"/>
          <w:highlight w:val="none"/>
          <w:lang w:val="en-US" w:eastAsia="zh-CN"/>
        </w:rPr>
        <w:t>，打捞</w:t>
      </w:r>
      <w:r>
        <w:rPr>
          <w:rFonts w:hint="eastAsia" w:ascii="宋体" w:hAnsi="宋体" w:cs="宋体"/>
          <w:color w:val="auto"/>
          <w:sz w:val="21"/>
          <w:szCs w:val="21"/>
          <w:highlight w:val="none"/>
          <w:lang w:val="en-US" w:eastAsia="zh-CN"/>
        </w:rPr>
        <w:t>保洁</w:t>
      </w:r>
      <w:r>
        <w:rPr>
          <w:rFonts w:hint="eastAsia" w:ascii="宋体" w:hAnsi="宋体" w:eastAsia="宋体" w:cs="宋体"/>
          <w:color w:val="auto"/>
          <w:sz w:val="21"/>
          <w:szCs w:val="21"/>
          <w:highlight w:val="none"/>
          <w:lang w:val="en-US" w:eastAsia="zh-CN"/>
        </w:rPr>
        <w:t>船除了要有正常的航行功能外，还必须具有自动打捞水面漂浮物，并且能自动将漂浮物输送上岸的功能，配备的打捞保洁船须与河道规模相适应，具备载货量不小于10立方米或打捞保洁船发动机功率不低于50千瓦。每条打捞保洁船需配备监控设备</w:t>
      </w:r>
      <w:r>
        <w:rPr>
          <w:rFonts w:hint="eastAsia" w:ascii="宋体" w:hAnsi="宋体" w:cs="宋体"/>
          <w:color w:val="auto"/>
          <w:sz w:val="21"/>
          <w:szCs w:val="21"/>
          <w:highlight w:val="none"/>
          <w:lang w:val="en-US" w:eastAsia="zh-CN"/>
        </w:rPr>
        <w:t>。</w:t>
      </w:r>
    </w:p>
    <w:p w14:paraId="07D17888">
      <w:pPr>
        <w:keepLines w:val="0"/>
        <w:pageBreakBefore w:val="0"/>
        <w:spacing w:line="460" w:lineRule="exact"/>
        <w:ind w:firstLine="480"/>
        <w:rPr>
          <w:rFonts w:hint="default"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b.挖掘机</w:t>
      </w:r>
      <w:r>
        <w:rPr>
          <w:rFonts w:hint="eastAsia" w:ascii="宋体" w:hAnsi="宋体" w:eastAsia="宋体" w:cs="宋体"/>
          <w:b/>
          <w:bCs/>
          <w:color w:val="auto"/>
          <w:sz w:val="21"/>
          <w:szCs w:val="21"/>
          <w:highlight w:val="none"/>
          <w:lang w:val="en-US" w:eastAsia="zh-CN"/>
        </w:rPr>
        <w:t>4台</w:t>
      </w:r>
      <w:r>
        <w:rPr>
          <w:rFonts w:hint="eastAsia" w:ascii="宋体" w:hAnsi="宋体" w:eastAsia="宋体" w:cs="宋体"/>
          <w:color w:val="auto"/>
          <w:sz w:val="21"/>
          <w:szCs w:val="21"/>
          <w:highlight w:val="none"/>
          <w:lang w:val="en-US" w:eastAsia="zh-CN"/>
        </w:rPr>
        <w:t>规格不小于80型号，用于上岸漂浮物的翻运、装车，拖网设备4条</w:t>
      </w:r>
      <w:r>
        <w:rPr>
          <w:rFonts w:hint="eastAsia" w:ascii="宋体" w:hAnsi="宋体" w:cs="宋体"/>
          <w:color w:val="auto"/>
          <w:sz w:val="21"/>
          <w:szCs w:val="21"/>
          <w:highlight w:val="none"/>
          <w:lang w:val="en-US" w:eastAsia="zh-CN"/>
        </w:rPr>
        <w:t>（拖网长度不得低于河道宽度）</w:t>
      </w:r>
      <w:r>
        <w:rPr>
          <w:rFonts w:hint="eastAsia" w:ascii="宋体" w:hAnsi="宋体" w:eastAsia="宋体" w:cs="宋体"/>
          <w:color w:val="auto"/>
          <w:sz w:val="21"/>
          <w:szCs w:val="21"/>
          <w:highlight w:val="none"/>
          <w:lang w:val="en-US" w:eastAsia="zh-CN"/>
        </w:rPr>
        <w:t>。</w:t>
      </w:r>
    </w:p>
    <w:p w14:paraId="01DDE52C">
      <w:pPr>
        <w:keepLines w:val="0"/>
        <w:pageBreakBefore w:val="0"/>
        <w:spacing w:line="460" w:lineRule="exact"/>
        <w:ind w:firstLine="480"/>
        <w:rPr>
          <w:rFonts w:hint="eastAsia" w:ascii="宋体" w:hAnsi="宋体" w:eastAsia="宋体" w:cs="宋体"/>
          <w:b/>
          <w:bCs/>
          <w:sz w:val="21"/>
          <w:szCs w:val="21"/>
          <w:highlight w:val="none"/>
          <w:lang w:val="en-US" w:eastAsia="zh-CN"/>
        </w:rPr>
      </w:pPr>
      <w:r>
        <w:rPr>
          <w:rFonts w:hint="eastAsia" w:ascii="宋体" w:hAnsi="宋体" w:eastAsia="宋体" w:cs="宋体"/>
          <w:b/>
          <w:bCs/>
          <w:color w:val="auto"/>
          <w:sz w:val="21"/>
          <w:szCs w:val="21"/>
          <w:highlight w:val="none"/>
          <w:lang w:eastAsia="zh-CN"/>
        </w:rPr>
        <w:t>注：</w:t>
      </w:r>
      <w:r>
        <w:rPr>
          <w:rFonts w:hint="eastAsia" w:ascii="宋体" w:hAnsi="宋体" w:eastAsia="宋体" w:cs="宋体"/>
          <w:b/>
          <w:bCs/>
          <w:color w:val="auto"/>
          <w:szCs w:val="21"/>
          <w:highlight w:val="none"/>
          <w:lang w:eastAsia="zh-CN"/>
        </w:rPr>
        <w:t>投标时全自动打捞保洁船须提供市级及以上地方海事部门颁发的相关检验证书或出厂合格证明材料</w:t>
      </w:r>
      <w:r>
        <w:rPr>
          <w:rFonts w:hint="eastAsia" w:ascii="宋体" w:hAnsi="宋体" w:cs="宋体"/>
          <w:b/>
          <w:bCs/>
          <w:color w:val="auto"/>
          <w:szCs w:val="21"/>
          <w:highlight w:val="none"/>
          <w:lang w:val="en-US" w:eastAsia="zh-CN"/>
        </w:rPr>
        <w:t>原件</w:t>
      </w:r>
      <w:r>
        <w:rPr>
          <w:rFonts w:hint="eastAsia" w:ascii="宋体" w:hAnsi="宋体" w:eastAsia="宋体" w:cs="宋体"/>
          <w:b/>
          <w:bCs/>
          <w:color w:val="auto"/>
          <w:szCs w:val="21"/>
          <w:highlight w:val="none"/>
          <w:lang w:eastAsia="zh-CN"/>
        </w:rPr>
        <w:t>扫描件，全自动打捞保洁船、</w:t>
      </w:r>
      <w:r>
        <w:rPr>
          <w:rFonts w:hint="eastAsia" w:ascii="宋体" w:hAnsi="宋体" w:cs="宋体"/>
          <w:b/>
          <w:bCs/>
          <w:color w:val="auto"/>
          <w:szCs w:val="21"/>
          <w:highlight w:val="none"/>
          <w:lang w:val="en-US" w:eastAsia="zh-CN"/>
        </w:rPr>
        <w:t>挖掘机</w:t>
      </w:r>
      <w:r>
        <w:rPr>
          <w:rFonts w:hint="eastAsia" w:ascii="宋体" w:hAnsi="宋体" w:eastAsia="宋体" w:cs="宋体"/>
          <w:b/>
          <w:bCs/>
          <w:color w:val="auto"/>
          <w:szCs w:val="21"/>
          <w:highlight w:val="none"/>
          <w:lang w:eastAsia="zh-CN"/>
        </w:rPr>
        <w:t>（自购需提供相关的购买发票原件扫描件，租赁的需提供相关的租赁合同原件扫描件及所租赁物的购买发票原件扫描件），未提供相关材料证明或不符合要求</w:t>
      </w:r>
      <w:r>
        <w:rPr>
          <w:rFonts w:hint="eastAsia" w:ascii="宋体" w:hAnsi="宋体" w:cs="宋体"/>
          <w:b/>
          <w:bCs/>
          <w:color w:val="auto"/>
          <w:szCs w:val="21"/>
          <w:highlight w:val="none"/>
          <w:lang w:eastAsia="zh-CN"/>
        </w:rPr>
        <w:t>作</w:t>
      </w:r>
      <w:r>
        <w:rPr>
          <w:rFonts w:hint="eastAsia" w:ascii="宋体" w:hAnsi="宋体" w:eastAsia="宋体" w:cs="宋体"/>
          <w:b/>
          <w:bCs/>
          <w:color w:val="auto"/>
          <w:szCs w:val="21"/>
          <w:highlight w:val="none"/>
          <w:lang w:eastAsia="zh-CN"/>
        </w:rPr>
        <w:t>无效标书处理。</w:t>
      </w:r>
    </w:p>
    <w:p w14:paraId="34FADB5A">
      <w:pPr>
        <w:keepLines w:val="0"/>
        <w:pageBreakBefore w:val="0"/>
        <w:spacing w:line="460" w:lineRule="exact"/>
        <w:ind w:firstLine="480"/>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B.专业技术能力：</w:t>
      </w:r>
    </w:p>
    <w:p w14:paraId="6A0F8A8C">
      <w:pPr>
        <w:keepLines w:val="0"/>
        <w:pageBreakBefore w:val="0"/>
        <w:spacing w:line="460" w:lineRule="exact"/>
        <w:ind w:firstLine="48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全自动打捞保洁船操作人员须具有市级及以上地方海事局颁发的《内河船舶船员适任证书》</w:t>
      </w:r>
      <w:r>
        <w:rPr>
          <w:rFonts w:hint="eastAsia" w:ascii="宋体" w:hAnsi="宋体" w:cs="宋体"/>
          <w:sz w:val="21"/>
          <w:szCs w:val="21"/>
          <w:highlight w:val="none"/>
          <w:lang w:eastAsia="zh-CN"/>
        </w:rPr>
        <w:t>；</w:t>
      </w:r>
      <w:r>
        <w:rPr>
          <w:rFonts w:hint="eastAsia" w:ascii="宋体" w:hAnsi="宋体" w:eastAsia="宋体"/>
          <w:b/>
          <w:bCs/>
          <w:sz w:val="21"/>
          <w:szCs w:val="24"/>
          <w:highlight w:val="none"/>
        </w:rPr>
        <w:t>挖掘机操作人员须具有住建部门颁发的《建筑施工特种作业操作资格证》</w:t>
      </w:r>
      <w:r>
        <w:rPr>
          <w:rFonts w:hint="eastAsia" w:ascii="宋体" w:hAnsi="宋体" w:eastAsia="宋体" w:cs="宋体"/>
          <w:sz w:val="21"/>
          <w:szCs w:val="21"/>
          <w:highlight w:val="none"/>
          <w:lang w:eastAsia="zh-CN"/>
        </w:rPr>
        <w:t>。</w:t>
      </w:r>
    </w:p>
    <w:p w14:paraId="6F68A11E">
      <w:pPr>
        <w:pStyle w:val="2"/>
        <w:keepLines w:val="0"/>
        <w:pageBreakBefore w:val="0"/>
        <w:tabs>
          <w:tab w:val="left" w:pos="0"/>
          <w:tab w:val="left" w:pos="3165"/>
          <w:tab w:val="center" w:pos="4153"/>
        </w:tabs>
        <w:spacing w:line="460" w:lineRule="exact"/>
        <w:ind w:firstLine="482"/>
        <w:jc w:val="left"/>
        <w:rPr>
          <w:rFonts w:hint="eastAsia" w:ascii="宋体" w:hAnsi="宋体" w:eastAsia="宋体" w:cs="宋体"/>
          <w:b/>
          <w:bCs/>
          <w:sz w:val="21"/>
          <w:szCs w:val="21"/>
        </w:rPr>
      </w:pPr>
      <w:r>
        <w:rPr>
          <w:rFonts w:hint="eastAsia" w:ascii="宋体" w:hAnsi="宋体" w:eastAsia="宋体" w:cs="宋体"/>
          <w:b/>
          <w:bCs/>
          <w:sz w:val="21"/>
          <w:szCs w:val="21"/>
        </w:rPr>
        <w:t>三、获取招标文件</w:t>
      </w:r>
      <w:bookmarkEnd w:id="21"/>
      <w:bookmarkEnd w:id="22"/>
    </w:p>
    <w:p w14:paraId="4478778F">
      <w:pPr>
        <w:pStyle w:val="13"/>
        <w:spacing w:beforeAutospacing="0" w:afterAutospacing="0" w:line="360" w:lineRule="auto"/>
        <w:ind w:firstLine="420" w:firstLineChars="20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1.时间：</w:t>
      </w:r>
      <w:r>
        <w:rPr>
          <w:rFonts w:hint="eastAsia" w:ascii="宋体" w:hAnsi="宋体" w:eastAsia="宋体" w:cs="宋体"/>
          <w:color w:val="000000"/>
          <w:sz w:val="21"/>
          <w:szCs w:val="21"/>
          <w:highlight w:val="none"/>
          <w:u w:val="none"/>
          <w:lang w:val="en-US" w:eastAsia="zh-CN"/>
        </w:rPr>
        <w:t>自招标公告发布之日起五个工作日</w:t>
      </w:r>
      <w:r>
        <w:rPr>
          <w:rFonts w:hint="eastAsia" w:ascii="宋体" w:hAnsi="宋体" w:eastAsia="宋体" w:cs="宋体"/>
          <w:color w:val="000000"/>
          <w:sz w:val="21"/>
          <w:szCs w:val="21"/>
          <w:highlight w:val="none"/>
          <w:u w:val="none"/>
        </w:rPr>
        <w:t>。</w:t>
      </w:r>
    </w:p>
    <w:p w14:paraId="27F53F36">
      <w:pPr>
        <w:pStyle w:val="13"/>
        <w:spacing w:beforeAutospacing="0" w:afterAutospacing="0" w:line="360" w:lineRule="auto"/>
        <w:ind w:firstLine="420" w:firstLineChars="20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2.地点：“苏采云”系统内免费下载（投标人必须在苏采云系统中获取采购文件，方能参与政府采购项目）</w:t>
      </w:r>
    </w:p>
    <w:p w14:paraId="3B443525">
      <w:pPr>
        <w:pStyle w:val="13"/>
        <w:spacing w:beforeAutospacing="0" w:afterAutospacing="0" w:line="360" w:lineRule="auto"/>
        <w:ind w:firstLine="420" w:firstLineChars="20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3.方式：本项目采用网上注册登记方式</w:t>
      </w:r>
    </w:p>
    <w:p w14:paraId="0291828B">
      <w:pPr>
        <w:pStyle w:val="15"/>
        <w:rPr>
          <w:rFonts w:hint="eastAsia" w:cs="宋体"/>
          <w:sz w:val="21"/>
          <w:szCs w:val="21"/>
          <w:highlight w:val="none"/>
          <w:lang w:val="en-US" w:eastAsia="zh-CN"/>
        </w:rPr>
      </w:pPr>
      <w:r>
        <w:rPr>
          <w:rFonts w:hint="eastAsia" w:cs="宋体"/>
          <w:sz w:val="21"/>
          <w:szCs w:val="21"/>
          <w:highlight w:val="none"/>
          <w:lang w:val="en-US" w:eastAsia="zh-CN"/>
        </w:rPr>
        <w:t>4.文件售价：0.00元。</w:t>
      </w:r>
    </w:p>
    <w:p w14:paraId="0504F726">
      <w:pPr>
        <w:pStyle w:val="15"/>
        <w:rPr>
          <w:rFonts w:hint="eastAsia" w:ascii="宋体" w:hAnsi="宋体" w:eastAsia="宋体" w:cs="宋体"/>
          <w:b/>
          <w:color w:val="000000"/>
          <w:sz w:val="21"/>
          <w:szCs w:val="21"/>
          <w:highlight w:val="none"/>
        </w:rPr>
      </w:pPr>
      <w:r>
        <w:rPr>
          <w:rFonts w:hint="eastAsia" w:cs="宋体"/>
          <w:b/>
          <w:bCs/>
          <w:sz w:val="21"/>
          <w:szCs w:val="21"/>
          <w:highlight w:val="none"/>
          <w:lang w:val="en-US" w:eastAsia="zh-CN"/>
        </w:rPr>
        <w:t>四、</w:t>
      </w:r>
      <w:r>
        <w:rPr>
          <w:rFonts w:hint="eastAsia" w:ascii="宋体" w:hAnsi="宋体" w:eastAsia="宋体" w:cs="宋体"/>
          <w:b/>
          <w:color w:val="000000"/>
          <w:sz w:val="21"/>
          <w:szCs w:val="21"/>
          <w:highlight w:val="none"/>
        </w:rPr>
        <w:t>提交投标文件截止时间、开标时间和地点</w:t>
      </w:r>
    </w:p>
    <w:p w14:paraId="6D19185D">
      <w:pPr>
        <w:pStyle w:val="1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1.时间：</w:t>
      </w:r>
      <w:r>
        <w:rPr>
          <w:rFonts w:hint="eastAsia" w:cs="宋体"/>
          <w:color w:val="000000"/>
          <w:sz w:val="21"/>
          <w:szCs w:val="21"/>
          <w:highlight w:val="none"/>
          <w:u w:val="single"/>
          <w:lang w:val="en-US" w:eastAsia="zh-CN"/>
        </w:rPr>
        <w:t>2026</w:t>
      </w:r>
      <w:r>
        <w:rPr>
          <w:rFonts w:hint="eastAsia" w:ascii="宋体" w:hAnsi="宋体" w:eastAsia="宋体" w:cs="宋体"/>
          <w:color w:val="000000"/>
          <w:sz w:val="21"/>
          <w:szCs w:val="21"/>
          <w:highlight w:val="none"/>
          <w:u w:val="single"/>
        </w:rPr>
        <w:t>年</w:t>
      </w:r>
      <w:r>
        <w:rPr>
          <w:rFonts w:hint="eastAsia" w:cs="宋体"/>
          <w:color w:val="000000"/>
          <w:sz w:val="21"/>
          <w:szCs w:val="21"/>
          <w:highlight w:val="none"/>
          <w:u w:val="single"/>
          <w:lang w:val="en-US" w:eastAsia="zh-CN"/>
        </w:rPr>
        <w:t>5</w:t>
      </w:r>
      <w:r>
        <w:rPr>
          <w:rFonts w:hint="eastAsia" w:ascii="宋体" w:hAnsi="宋体" w:eastAsia="宋体" w:cs="宋体"/>
          <w:color w:val="000000"/>
          <w:sz w:val="21"/>
          <w:szCs w:val="21"/>
          <w:highlight w:val="none"/>
          <w:u w:val="single"/>
        </w:rPr>
        <w:t>月</w:t>
      </w:r>
      <w:r>
        <w:rPr>
          <w:rFonts w:hint="eastAsia" w:cs="宋体"/>
          <w:color w:val="000000"/>
          <w:sz w:val="21"/>
          <w:szCs w:val="21"/>
          <w:highlight w:val="none"/>
          <w:u w:val="single"/>
          <w:lang w:val="en-US" w:eastAsia="zh-CN"/>
        </w:rPr>
        <w:t>8日9</w:t>
      </w:r>
      <w:r>
        <w:rPr>
          <w:rFonts w:hint="eastAsia" w:ascii="宋体" w:hAnsi="宋体" w:eastAsia="宋体" w:cs="宋体"/>
          <w:color w:val="000000"/>
          <w:sz w:val="21"/>
          <w:szCs w:val="21"/>
          <w:highlight w:val="none"/>
          <w:u w:val="single"/>
          <w:lang w:val="en-US" w:eastAsia="zh-CN"/>
        </w:rPr>
        <w:t>时00分</w:t>
      </w:r>
      <w:r>
        <w:rPr>
          <w:rFonts w:hint="eastAsia" w:ascii="宋体" w:hAnsi="宋体" w:eastAsia="宋体" w:cs="宋体"/>
          <w:color w:val="000000"/>
          <w:sz w:val="21"/>
          <w:szCs w:val="21"/>
          <w:highlight w:val="none"/>
        </w:rPr>
        <w:t>（北京时间）；</w:t>
      </w:r>
    </w:p>
    <w:p w14:paraId="0BA4DFE0">
      <w:pPr>
        <w:pStyle w:val="13"/>
        <w:keepNext/>
        <w:keepLines/>
        <w:spacing w:beforeAutospacing="0" w:afterAutospacing="0" w:line="360" w:lineRule="auto"/>
        <w:ind w:firstLine="420" w:firstLineChars="200"/>
        <w:jc w:val="both"/>
        <w:rPr>
          <w:rFonts w:hint="eastAsia" w:ascii="宋体" w:hAnsi="宋体" w:eastAsia="宋体" w:cs="宋体"/>
          <w:color w:val="000000"/>
          <w:sz w:val="21"/>
          <w:szCs w:val="21"/>
          <w:highlight w:val="none"/>
        </w:rPr>
      </w:pPr>
      <w:r>
        <w:rPr>
          <w:rFonts w:hint="eastAsia" w:cs="宋体"/>
          <w:color w:val="000000"/>
          <w:sz w:val="21"/>
          <w:szCs w:val="21"/>
          <w:highlight w:val="none"/>
          <w:lang w:val="en-US" w:eastAsia="zh-CN"/>
        </w:rPr>
        <w:t>2</w:t>
      </w:r>
      <w:r>
        <w:rPr>
          <w:rFonts w:hint="eastAsia" w:ascii="宋体" w:hAnsi="宋体" w:eastAsia="宋体" w:cs="宋体"/>
          <w:color w:val="000000"/>
          <w:sz w:val="21"/>
          <w:szCs w:val="21"/>
          <w:highlight w:val="none"/>
        </w:rPr>
        <w:t>.地点：</w:t>
      </w:r>
      <w:r>
        <w:rPr>
          <w:rFonts w:hint="eastAsia" w:ascii="宋体" w:hAnsi="宋体" w:eastAsia="宋体" w:cs="宋体"/>
          <w:color w:val="auto"/>
          <w:sz w:val="21"/>
          <w:szCs w:val="21"/>
        </w:rPr>
        <w:t>“苏采云”系统(网址:http://jszfcg.jsczt,g/)“开标大厅”</w:t>
      </w:r>
      <w:r>
        <w:rPr>
          <w:rFonts w:hint="eastAsia" w:ascii="宋体" w:hAnsi="宋体" w:eastAsia="宋体" w:cs="宋体"/>
          <w:color w:val="000000"/>
          <w:sz w:val="21"/>
          <w:szCs w:val="21"/>
          <w:highlight w:val="none"/>
        </w:rPr>
        <w:t>。</w:t>
      </w:r>
    </w:p>
    <w:p w14:paraId="6D847DCE">
      <w:pPr>
        <w:pStyle w:val="13"/>
        <w:keepNext/>
        <w:keepLines/>
        <w:spacing w:beforeAutospacing="0" w:afterAutospacing="0" w:line="360" w:lineRule="auto"/>
        <w:ind w:firstLine="498"/>
        <w:jc w:val="both"/>
        <w:rPr>
          <w:rFonts w:hint="eastAsia" w:ascii="宋体" w:hAnsi="宋体" w:eastAsia="宋体" w:cs="宋体"/>
          <w:sz w:val="21"/>
          <w:szCs w:val="21"/>
          <w:highlight w:val="none"/>
        </w:rPr>
      </w:pPr>
      <w:bookmarkStart w:id="23" w:name="_Toc38985267"/>
      <w:bookmarkEnd w:id="23"/>
      <w:bookmarkStart w:id="24" w:name="_Toc28359084"/>
      <w:bookmarkEnd w:id="24"/>
      <w:bookmarkStart w:id="25" w:name="_Toc28359007"/>
      <w:bookmarkEnd w:id="25"/>
      <w:bookmarkStart w:id="26" w:name="_Toc35393625"/>
      <w:bookmarkEnd w:id="26"/>
      <w:bookmarkStart w:id="27" w:name="_Toc35393794"/>
      <w:bookmarkEnd w:id="27"/>
      <w:r>
        <w:rPr>
          <w:rFonts w:hint="eastAsia" w:ascii="宋体" w:hAnsi="宋体" w:eastAsia="宋体" w:cs="宋体"/>
          <w:b/>
          <w:color w:val="000000"/>
          <w:sz w:val="21"/>
          <w:szCs w:val="21"/>
          <w:highlight w:val="none"/>
        </w:rPr>
        <w:t>五、公告期限</w:t>
      </w:r>
    </w:p>
    <w:p w14:paraId="0EDB32C3">
      <w:pPr>
        <w:pStyle w:val="13"/>
        <w:widowControl/>
        <w:shd w:val="clear" w:color="auto" w:fill="FFFFFF"/>
        <w:spacing w:beforeAutospacing="0" w:afterAutospacing="0" w:line="360" w:lineRule="auto"/>
        <w:ind w:firstLine="560"/>
        <w:jc w:val="both"/>
        <w:rPr>
          <w:rFonts w:hint="eastAsia" w:ascii="宋体" w:hAnsi="宋体" w:eastAsia="宋体" w:cs="宋体"/>
          <w:color w:val="333333"/>
          <w:sz w:val="21"/>
          <w:szCs w:val="21"/>
          <w:highlight w:val="none"/>
          <w:shd w:val="clear" w:color="auto" w:fill="FFFFFF"/>
        </w:rPr>
      </w:pPr>
      <w:bookmarkStart w:id="28" w:name="_Toc35393795"/>
      <w:bookmarkEnd w:id="28"/>
      <w:bookmarkStart w:id="29" w:name="_Toc35393626"/>
      <w:bookmarkEnd w:id="29"/>
      <w:bookmarkStart w:id="30" w:name="_Toc38985268"/>
      <w:bookmarkEnd w:id="30"/>
      <w:r>
        <w:rPr>
          <w:rFonts w:hint="eastAsia" w:ascii="宋体" w:hAnsi="宋体" w:eastAsia="宋体" w:cs="宋体"/>
          <w:color w:val="333333"/>
          <w:sz w:val="21"/>
          <w:szCs w:val="21"/>
          <w:highlight w:val="none"/>
          <w:shd w:val="clear" w:color="auto" w:fill="FFFFFF"/>
        </w:rPr>
        <w:t>自本公告发布之日起5个工作日。</w:t>
      </w:r>
    </w:p>
    <w:p w14:paraId="0A371E1D">
      <w:pPr>
        <w:pStyle w:val="13"/>
        <w:keepNext/>
        <w:keepLines/>
        <w:spacing w:beforeAutospacing="0" w:afterAutospacing="0" w:line="360" w:lineRule="auto"/>
        <w:ind w:firstLine="498"/>
        <w:jc w:val="both"/>
        <w:rPr>
          <w:rFonts w:hint="eastAsia" w:ascii="宋体" w:hAnsi="宋体" w:eastAsia="宋体" w:cs="宋体"/>
          <w:sz w:val="21"/>
          <w:szCs w:val="21"/>
          <w:highlight w:val="none"/>
        </w:rPr>
      </w:pPr>
      <w:r>
        <w:rPr>
          <w:rFonts w:hint="eastAsia" w:ascii="宋体" w:hAnsi="宋体" w:eastAsia="宋体" w:cs="宋体"/>
          <w:b/>
          <w:color w:val="000000"/>
          <w:sz w:val="21"/>
          <w:szCs w:val="21"/>
          <w:highlight w:val="none"/>
        </w:rPr>
        <w:t>六、其他补充事宜</w:t>
      </w:r>
    </w:p>
    <w:p w14:paraId="31B80AA4">
      <w:pPr>
        <w:pStyle w:val="3"/>
        <w:widowControl/>
        <w:shd w:val="clear" w:color="auto" w:fill="FFFFFF"/>
        <w:spacing w:beforeAutospacing="0" w:afterAutospacing="0" w:line="360" w:lineRule="auto"/>
        <w:ind w:firstLine="422" w:firstLineChars="200"/>
        <w:jc w:val="both"/>
        <w:rPr>
          <w:rFonts w:hint="eastAsia" w:cs="宋体"/>
          <w:color w:val="auto"/>
          <w:sz w:val="21"/>
          <w:szCs w:val="21"/>
          <w:highlight w:val="none"/>
          <w:shd w:val="clear" w:color="auto" w:fill="FFFFFF"/>
        </w:rPr>
      </w:pPr>
      <w:r>
        <w:rPr>
          <w:rFonts w:hint="eastAsia" w:cs="宋体"/>
          <w:color w:val="auto"/>
          <w:sz w:val="21"/>
          <w:szCs w:val="21"/>
          <w:highlight w:val="none"/>
          <w:shd w:val="clear" w:color="auto" w:fill="FFFFFF"/>
        </w:rPr>
        <w:t>1.</w:t>
      </w:r>
      <w:r>
        <w:rPr>
          <w:rFonts w:hint="eastAsia" w:cs="宋体"/>
          <w:color w:val="auto"/>
          <w:sz w:val="21"/>
          <w:szCs w:val="21"/>
          <w:highlight w:val="none"/>
          <w:shd w:val="clear" w:color="auto" w:fill="FFFFFF"/>
          <w:lang w:eastAsia="zh-CN"/>
        </w:rPr>
        <w:t>斗龙港河</w:t>
      </w:r>
      <w:r>
        <w:rPr>
          <w:rFonts w:hint="eastAsia" w:cs="宋体"/>
          <w:color w:val="auto"/>
          <w:sz w:val="21"/>
          <w:szCs w:val="21"/>
          <w:highlight w:val="none"/>
          <w:shd w:val="clear" w:color="auto" w:fill="FFFFFF"/>
        </w:rPr>
        <w:t>水面漂浮物打捞项目组成人员及专用设备不得在其他</w:t>
      </w:r>
      <w:r>
        <w:rPr>
          <w:rFonts w:hint="eastAsia" w:cs="宋体"/>
          <w:color w:val="auto"/>
          <w:sz w:val="21"/>
          <w:szCs w:val="21"/>
          <w:highlight w:val="none"/>
          <w:shd w:val="clear" w:color="auto" w:fill="FFFFFF"/>
          <w:lang w:val="en-US" w:eastAsia="zh-CN"/>
        </w:rPr>
        <w:t>类似</w:t>
      </w:r>
      <w:r>
        <w:rPr>
          <w:rFonts w:hint="eastAsia" w:cs="宋体"/>
          <w:color w:val="auto"/>
          <w:sz w:val="21"/>
          <w:szCs w:val="21"/>
          <w:highlight w:val="none"/>
          <w:shd w:val="clear" w:color="auto" w:fill="FFFFFF"/>
        </w:rPr>
        <w:t>项目中兼职</w:t>
      </w:r>
      <w:r>
        <w:rPr>
          <w:rFonts w:hint="eastAsia" w:cs="宋体"/>
          <w:color w:val="auto"/>
          <w:sz w:val="21"/>
          <w:szCs w:val="21"/>
          <w:highlight w:val="none"/>
          <w:shd w:val="clear" w:color="auto" w:fill="FFFFFF"/>
          <w:lang w:val="en-US" w:eastAsia="zh-CN"/>
        </w:rPr>
        <w:t>或使用</w:t>
      </w:r>
      <w:r>
        <w:rPr>
          <w:rFonts w:hint="eastAsia" w:cs="宋体"/>
          <w:color w:val="auto"/>
          <w:sz w:val="21"/>
          <w:szCs w:val="21"/>
          <w:highlight w:val="none"/>
          <w:shd w:val="clear" w:color="auto" w:fill="FFFFFF"/>
        </w:rPr>
        <w:t>，一旦发现，招标人有权取消其中标资格并追究其相应责任。</w:t>
      </w:r>
    </w:p>
    <w:p w14:paraId="5D7F19A1">
      <w:pPr>
        <w:pStyle w:val="3"/>
        <w:widowControl/>
        <w:shd w:val="clear" w:color="auto" w:fill="FFFFFF"/>
        <w:spacing w:beforeAutospacing="0" w:afterAutospacing="0" w:line="360" w:lineRule="auto"/>
        <w:ind w:firstLine="422" w:firstLineChars="200"/>
        <w:jc w:val="both"/>
        <w:rPr>
          <w:rFonts w:hint="eastAsia" w:eastAsia="宋体" w:cs="宋体"/>
          <w:color w:val="333333"/>
          <w:sz w:val="21"/>
          <w:szCs w:val="21"/>
          <w:highlight w:val="none"/>
          <w:shd w:val="clear" w:color="auto" w:fill="FFFFFF"/>
          <w:lang w:eastAsia="zh-CN"/>
        </w:rPr>
      </w:pPr>
      <w:r>
        <w:rPr>
          <w:rFonts w:hint="eastAsia" w:cs="宋体"/>
          <w:color w:val="333333"/>
          <w:sz w:val="21"/>
          <w:szCs w:val="21"/>
          <w:highlight w:val="none"/>
          <w:shd w:val="clear" w:color="auto" w:fill="FFFFFF"/>
        </w:rPr>
        <w:t>待中标后，中标单位将相关人员证书、意外险缴纳证明、设备等证明材料提交原件待采购单位检查，复印件留档。中标单位在中标结果公告后的五个工作日内，全部设备到达打捞现场，采购单位验收合格后签订合同；设备不到位或不合格，采购单位有权取消其中标资格</w:t>
      </w:r>
      <w:r>
        <w:rPr>
          <w:rFonts w:hint="eastAsia" w:cs="宋体"/>
          <w:color w:val="333333"/>
          <w:sz w:val="21"/>
          <w:szCs w:val="21"/>
          <w:highlight w:val="none"/>
          <w:shd w:val="clear" w:color="auto" w:fill="FFFFFF"/>
          <w:lang w:eastAsia="zh-CN"/>
        </w:rPr>
        <w:t>。</w:t>
      </w:r>
    </w:p>
    <w:p w14:paraId="3F175356">
      <w:pPr>
        <w:pStyle w:val="3"/>
        <w:widowControl/>
        <w:shd w:val="clear" w:color="auto" w:fill="FFFFFF"/>
        <w:spacing w:beforeAutospacing="0" w:afterAutospacing="0" w:line="360" w:lineRule="auto"/>
        <w:ind w:firstLine="420" w:firstLineChars="200"/>
        <w:jc w:val="both"/>
        <w:rPr>
          <w:rFonts w:hint="eastAsia" w:cs="宋体"/>
          <w:b w:val="0"/>
          <w:bCs w:val="0"/>
          <w:color w:val="333333"/>
          <w:sz w:val="21"/>
          <w:szCs w:val="21"/>
          <w:highlight w:val="none"/>
          <w:shd w:val="clear" w:color="auto" w:fill="FFFFFF"/>
        </w:rPr>
      </w:pPr>
      <w:r>
        <w:rPr>
          <w:rFonts w:hint="eastAsia" w:cs="宋体"/>
          <w:b w:val="0"/>
          <w:bCs w:val="0"/>
          <w:color w:val="333333"/>
          <w:sz w:val="21"/>
          <w:szCs w:val="21"/>
          <w:highlight w:val="none"/>
          <w:shd w:val="clear" w:color="auto" w:fill="FFFFFF"/>
          <w:lang w:val="en-US" w:eastAsia="zh-CN"/>
        </w:rPr>
        <w:t>2</w:t>
      </w:r>
      <w:r>
        <w:rPr>
          <w:rFonts w:hint="eastAsia" w:cs="宋体"/>
          <w:b w:val="0"/>
          <w:bCs w:val="0"/>
          <w:color w:val="333333"/>
          <w:sz w:val="21"/>
          <w:szCs w:val="21"/>
          <w:highlight w:val="none"/>
          <w:shd w:val="clear" w:color="auto" w:fill="FFFFFF"/>
        </w:rPr>
        <w:t>.投标人不得提供虚假材料谋取中标成交的或采取不正当手段诋毁、排挤其他供应商。</w:t>
      </w:r>
    </w:p>
    <w:p w14:paraId="481EEFB7">
      <w:pPr>
        <w:pStyle w:val="3"/>
        <w:widowControl/>
        <w:shd w:val="clear" w:color="auto" w:fill="FFFFFF"/>
        <w:spacing w:beforeAutospacing="0" w:afterAutospacing="0" w:line="360" w:lineRule="auto"/>
        <w:ind w:firstLine="420" w:firstLineChars="200"/>
        <w:jc w:val="both"/>
        <w:rPr>
          <w:rFonts w:hint="eastAsia" w:cs="宋体"/>
          <w:b w:val="0"/>
          <w:bCs w:val="0"/>
          <w:color w:val="333333"/>
          <w:sz w:val="21"/>
          <w:szCs w:val="21"/>
          <w:highlight w:val="none"/>
          <w:shd w:val="clear" w:color="auto" w:fill="FFFFFF"/>
        </w:rPr>
      </w:pPr>
      <w:r>
        <w:rPr>
          <w:rFonts w:hint="eastAsia" w:cs="宋体"/>
          <w:b w:val="0"/>
          <w:bCs w:val="0"/>
          <w:color w:val="333333"/>
          <w:sz w:val="21"/>
          <w:szCs w:val="21"/>
          <w:highlight w:val="none"/>
          <w:shd w:val="clear" w:color="auto" w:fill="FFFFFF"/>
          <w:lang w:val="en-US" w:eastAsia="zh-CN"/>
        </w:rPr>
        <w:t>3</w:t>
      </w:r>
      <w:r>
        <w:rPr>
          <w:rFonts w:hint="eastAsia" w:cs="宋体"/>
          <w:b w:val="0"/>
          <w:bCs w:val="0"/>
          <w:color w:val="333333"/>
          <w:sz w:val="21"/>
          <w:szCs w:val="21"/>
          <w:highlight w:val="none"/>
          <w:shd w:val="clear" w:color="auto" w:fill="FFFFFF"/>
        </w:rPr>
        <w:t>.投标人存在串通投标、以他人名义投标、弄虚作假等违法违规行为，或者无正当理由放弃投标、中标资格，造成项目招标失败的，不得参加该项目重新招标的投标。</w:t>
      </w:r>
    </w:p>
    <w:p w14:paraId="12A63A26">
      <w:pPr>
        <w:pStyle w:val="3"/>
        <w:widowControl/>
        <w:shd w:val="clear" w:color="auto" w:fill="FFFFFF"/>
        <w:spacing w:beforeAutospacing="0" w:afterAutospacing="0" w:line="360" w:lineRule="auto"/>
        <w:ind w:firstLine="420" w:firstLineChars="200"/>
        <w:jc w:val="both"/>
        <w:rPr>
          <w:rFonts w:cs="宋体"/>
          <w:b w:val="0"/>
          <w:bCs w:val="0"/>
          <w:color w:val="auto"/>
          <w:sz w:val="21"/>
          <w:szCs w:val="21"/>
          <w:shd w:val="clear" w:color="auto" w:fill="FFFFFF"/>
        </w:rPr>
      </w:pPr>
      <w:r>
        <w:rPr>
          <w:rFonts w:hint="eastAsia" w:cs="宋体"/>
          <w:b w:val="0"/>
          <w:bCs w:val="0"/>
          <w:color w:val="auto"/>
          <w:sz w:val="21"/>
          <w:szCs w:val="21"/>
          <w:shd w:val="clear" w:color="auto" w:fill="FFFFFF"/>
          <w:lang w:val="en-US" w:eastAsia="zh-CN"/>
        </w:rPr>
        <w:t>4</w:t>
      </w:r>
      <w:r>
        <w:rPr>
          <w:rFonts w:cs="宋体"/>
          <w:b w:val="0"/>
          <w:bCs w:val="0"/>
          <w:color w:val="auto"/>
          <w:sz w:val="21"/>
          <w:szCs w:val="21"/>
          <w:shd w:val="clear" w:color="auto" w:fill="FFFFFF"/>
        </w:rPr>
        <w:t>.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0E1188D1">
      <w:pPr>
        <w:pStyle w:val="3"/>
        <w:widowControl/>
        <w:shd w:val="clear" w:color="auto" w:fill="FFFFFF"/>
        <w:spacing w:beforeAutospacing="0" w:afterAutospacing="0" w:line="360" w:lineRule="auto"/>
        <w:ind w:firstLine="420" w:firstLineChars="200"/>
        <w:jc w:val="both"/>
        <w:rPr>
          <w:rFonts w:cs="宋体"/>
          <w:b w:val="0"/>
          <w:bCs w:val="0"/>
          <w:color w:val="auto"/>
          <w:sz w:val="21"/>
          <w:szCs w:val="21"/>
          <w:shd w:val="clear" w:color="auto" w:fill="FFFFFF"/>
        </w:rPr>
      </w:pPr>
      <w:r>
        <w:rPr>
          <w:rFonts w:cs="宋体"/>
          <w:b w:val="0"/>
          <w:bCs w:val="0"/>
          <w:color w:val="auto"/>
          <w:sz w:val="21"/>
          <w:szCs w:val="21"/>
          <w:shd w:val="clear" w:color="auto" w:fill="FFFFFF"/>
        </w:rPr>
        <w:t>领取CA和办理电子签章（</w:t>
      </w:r>
      <w:r>
        <w:rPr>
          <w:rFonts w:hint="eastAsia" w:cs="宋体"/>
          <w:b w:val="0"/>
          <w:bCs w:val="0"/>
          <w:color w:val="auto"/>
          <w:sz w:val="21"/>
          <w:szCs w:val="21"/>
          <w:shd w:val="clear" w:color="auto" w:fill="FFFFFF"/>
        </w:rPr>
        <w:t>盐城市盐都区府西路1号盐城市政务服务中心4楼盐城市公共资源交易中心10号、11号</w:t>
      </w:r>
      <w:r>
        <w:rPr>
          <w:rFonts w:cs="宋体"/>
          <w:b w:val="0"/>
          <w:bCs w:val="0"/>
          <w:color w:val="auto"/>
          <w:sz w:val="21"/>
          <w:szCs w:val="21"/>
          <w:shd w:val="clear" w:color="auto" w:fill="FFFFFF"/>
        </w:rPr>
        <w:t>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51BA7891">
      <w:pPr>
        <w:pStyle w:val="3"/>
        <w:widowControl/>
        <w:shd w:val="clear" w:color="auto" w:fill="FFFFFF"/>
        <w:spacing w:beforeAutospacing="0" w:afterAutospacing="0" w:line="360" w:lineRule="auto"/>
        <w:ind w:firstLine="420" w:firstLineChars="200"/>
        <w:jc w:val="both"/>
        <w:rPr>
          <w:rFonts w:cs="宋体"/>
          <w:b w:val="0"/>
          <w:bCs w:val="0"/>
          <w:color w:val="auto"/>
          <w:sz w:val="21"/>
          <w:szCs w:val="21"/>
          <w:shd w:val="clear" w:color="auto" w:fill="FFFFFF"/>
        </w:rPr>
      </w:pPr>
      <w:r>
        <w:rPr>
          <w:rFonts w:hint="eastAsia" w:cs="宋体"/>
          <w:b w:val="0"/>
          <w:bCs w:val="0"/>
          <w:color w:val="auto"/>
          <w:sz w:val="21"/>
          <w:szCs w:val="21"/>
          <w:shd w:val="clear" w:color="auto" w:fill="FFFFFF"/>
          <w:lang w:val="en-US" w:eastAsia="zh-CN"/>
        </w:rPr>
        <w:t>5</w:t>
      </w:r>
      <w:r>
        <w:rPr>
          <w:rFonts w:cs="宋体"/>
          <w:b w:val="0"/>
          <w:bCs w:val="0"/>
          <w:color w:val="auto"/>
          <w:sz w:val="21"/>
          <w:szCs w:val="21"/>
          <w:shd w:val="clear" w:color="auto" w:fill="FFFFFF"/>
        </w:rPr>
        <w:t xml:space="preserve">.潜在供应商访问电子招标响应交易平台的网络地址和方法： </w:t>
      </w:r>
    </w:p>
    <w:p w14:paraId="79B026D1">
      <w:pPr>
        <w:pStyle w:val="3"/>
        <w:widowControl/>
        <w:shd w:val="clear" w:color="auto" w:fill="FFFFFF"/>
        <w:spacing w:beforeAutospacing="0" w:afterAutospacing="0" w:line="360" w:lineRule="auto"/>
        <w:ind w:firstLine="420" w:firstLineChars="200"/>
        <w:jc w:val="both"/>
        <w:rPr>
          <w:rFonts w:cs="宋体"/>
          <w:b w:val="0"/>
          <w:bCs w:val="0"/>
          <w:color w:val="auto"/>
          <w:sz w:val="21"/>
          <w:szCs w:val="21"/>
          <w:shd w:val="clear" w:color="auto" w:fill="FFFFFF"/>
        </w:rPr>
      </w:pPr>
      <w:r>
        <w:rPr>
          <w:rFonts w:hint="eastAsia" w:cs="宋体"/>
          <w:b w:val="0"/>
          <w:bCs w:val="0"/>
          <w:color w:val="auto"/>
          <w:sz w:val="21"/>
          <w:szCs w:val="21"/>
          <w:shd w:val="clear" w:color="auto" w:fill="FFFFFF"/>
          <w:lang w:val="en-US" w:eastAsia="zh-CN"/>
        </w:rPr>
        <w:t>5</w:t>
      </w:r>
      <w:r>
        <w:rPr>
          <w:rFonts w:cs="宋体"/>
          <w:b w:val="0"/>
          <w:bCs w:val="0"/>
          <w:color w:val="auto"/>
          <w:sz w:val="21"/>
          <w:szCs w:val="21"/>
          <w:shd w:val="clear" w:color="auto" w:fill="FFFFFF"/>
        </w:rPr>
        <w:t xml:space="preserve">.1“苏采云”系统用户注册--获取“CA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75CE1F73">
      <w:pPr>
        <w:pStyle w:val="3"/>
        <w:widowControl/>
        <w:shd w:val="clear" w:color="auto" w:fill="FFFFFF"/>
        <w:spacing w:beforeAutospacing="0" w:afterAutospacing="0" w:line="360" w:lineRule="auto"/>
        <w:ind w:firstLine="420" w:firstLineChars="200"/>
        <w:jc w:val="both"/>
        <w:rPr>
          <w:rFonts w:cs="宋体"/>
          <w:b w:val="0"/>
          <w:bCs w:val="0"/>
          <w:color w:val="auto"/>
          <w:sz w:val="21"/>
          <w:szCs w:val="21"/>
          <w:shd w:val="clear" w:color="auto" w:fill="FFFFFF"/>
        </w:rPr>
      </w:pPr>
      <w:r>
        <w:rPr>
          <w:rFonts w:hint="eastAsia" w:cs="宋体"/>
          <w:b w:val="0"/>
          <w:bCs w:val="0"/>
          <w:color w:val="auto"/>
          <w:sz w:val="21"/>
          <w:szCs w:val="21"/>
          <w:shd w:val="clear" w:color="auto" w:fill="FFFFFF"/>
          <w:lang w:val="en-US" w:eastAsia="zh-CN"/>
        </w:rPr>
        <w:t>5</w:t>
      </w:r>
      <w:r>
        <w:rPr>
          <w:rFonts w:cs="宋体"/>
          <w:b w:val="0"/>
          <w:bCs w:val="0"/>
          <w:color w:val="auto"/>
          <w:sz w:val="21"/>
          <w:szCs w:val="21"/>
          <w:shd w:val="clear" w:color="auto" w:fill="FFFFFF"/>
        </w:rPr>
        <w:t xml:space="preserve">.2 潜在投标人访问“苏采云”系统方法：江苏省政府采购网首页-“苏采云”链接。 </w:t>
      </w:r>
    </w:p>
    <w:p w14:paraId="7F9984F8">
      <w:pPr>
        <w:pStyle w:val="3"/>
        <w:widowControl/>
        <w:shd w:val="clear" w:color="auto" w:fill="FFFFFF"/>
        <w:spacing w:beforeAutospacing="0" w:afterAutospacing="0" w:line="360" w:lineRule="auto"/>
        <w:ind w:firstLine="420" w:firstLineChars="200"/>
        <w:jc w:val="both"/>
        <w:rPr>
          <w:rFonts w:cs="宋体"/>
          <w:b w:val="0"/>
          <w:bCs w:val="0"/>
          <w:color w:val="auto"/>
          <w:sz w:val="21"/>
          <w:szCs w:val="21"/>
          <w:shd w:val="clear" w:color="auto" w:fill="FFFFFF"/>
        </w:rPr>
      </w:pPr>
      <w:r>
        <w:rPr>
          <w:rFonts w:hint="eastAsia" w:cs="宋体"/>
          <w:b w:val="0"/>
          <w:bCs w:val="0"/>
          <w:color w:val="auto"/>
          <w:sz w:val="21"/>
          <w:szCs w:val="21"/>
          <w:shd w:val="clear" w:color="auto" w:fill="FFFFFF"/>
          <w:lang w:val="en-US" w:eastAsia="zh-CN"/>
        </w:rPr>
        <w:t>5</w:t>
      </w:r>
      <w:r>
        <w:rPr>
          <w:rFonts w:cs="宋体"/>
          <w:b w:val="0"/>
          <w:bCs w:val="0"/>
          <w:color w:val="auto"/>
          <w:sz w:val="21"/>
          <w:szCs w:val="21"/>
          <w:shd w:val="clear" w:color="auto" w:fill="FFFFFF"/>
        </w:rPr>
        <w:t xml:space="preserve">.3 采购文件（后缀名为“.kedt”）、供应商操作手册及政府采购客户端工具可通过“苏采云”系统相应链接进行下载。 </w:t>
      </w:r>
    </w:p>
    <w:p w14:paraId="3F8F2A96">
      <w:pPr>
        <w:pStyle w:val="3"/>
        <w:widowControl/>
        <w:shd w:val="clear" w:color="auto" w:fill="FFFFFF"/>
        <w:spacing w:beforeAutospacing="0" w:afterAutospacing="0" w:line="360" w:lineRule="auto"/>
        <w:ind w:firstLine="420" w:firstLineChars="200"/>
        <w:jc w:val="both"/>
        <w:rPr>
          <w:rFonts w:cs="宋体"/>
          <w:b w:val="0"/>
          <w:bCs w:val="0"/>
          <w:color w:val="auto"/>
          <w:sz w:val="21"/>
          <w:szCs w:val="21"/>
          <w:shd w:val="clear" w:color="auto" w:fill="FFFFFF"/>
        </w:rPr>
      </w:pPr>
      <w:r>
        <w:rPr>
          <w:rFonts w:hint="eastAsia" w:cs="宋体"/>
          <w:b w:val="0"/>
          <w:bCs w:val="0"/>
          <w:color w:val="auto"/>
          <w:sz w:val="21"/>
          <w:szCs w:val="21"/>
          <w:shd w:val="clear" w:color="auto" w:fill="FFFFFF"/>
          <w:lang w:val="en-US" w:eastAsia="zh-CN"/>
        </w:rPr>
        <w:t>5</w:t>
      </w:r>
      <w:r>
        <w:rPr>
          <w:rFonts w:cs="宋体"/>
          <w:b w:val="0"/>
          <w:bCs w:val="0"/>
          <w:color w:val="auto"/>
          <w:sz w:val="21"/>
          <w:szCs w:val="21"/>
          <w:shd w:val="clear" w:color="auto" w:fill="FFFFFF"/>
        </w:rPr>
        <w:t xml:space="preserve">.4 采购代理机构将数据电文形式的采购文件加载至“苏采云”系统，供潜在供应商下载或者查阅。 </w:t>
      </w:r>
    </w:p>
    <w:p w14:paraId="72618625">
      <w:pPr>
        <w:pStyle w:val="3"/>
        <w:widowControl/>
        <w:shd w:val="clear" w:color="auto" w:fill="FFFFFF"/>
        <w:spacing w:beforeAutospacing="0" w:afterAutospacing="0" w:line="360" w:lineRule="auto"/>
        <w:ind w:firstLine="420" w:firstLineChars="200"/>
        <w:jc w:val="both"/>
        <w:rPr>
          <w:rFonts w:cs="宋体"/>
          <w:b w:val="0"/>
          <w:bCs w:val="0"/>
          <w:color w:val="auto"/>
          <w:sz w:val="21"/>
          <w:szCs w:val="21"/>
          <w:shd w:val="clear" w:color="auto" w:fill="FFFFFF"/>
        </w:rPr>
      </w:pPr>
      <w:r>
        <w:rPr>
          <w:rFonts w:hint="eastAsia" w:cs="宋体"/>
          <w:b w:val="0"/>
          <w:bCs w:val="0"/>
          <w:color w:val="auto"/>
          <w:sz w:val="21"/>
          <w:szCs w:val="21"/>
          <w:shd w:val="clear" w:color="auto" w:fill="FFFFFF"/>
          <w:lang w:val="en-US" w:eastAsia="zh-CN"/>
        </w:rPr>
        <w:t>5</w:t>
      </w:r>
      <w:r>
        <w:rPr>
          <w:rFonts w:cs="宋体"/>
          <w:b w:val="0"/>
          <w:bCs w:val="0"/>
          <w:color w:val="auto"/>
          <w:sz w:val="21"/>
          <w:szCs w:val="21"/>
          <w:shd w:val="clear" w:color="auto" w:fill="FFFFFF"/>
        </w:rPr>
        <w:t xml:space="preserve">.5 请潜在投标单位提前安装相应的控件（详见《“苏采云”系统供应商操作手册》）并使用谷歌浏览器登录“苏采云”系统参与不见面开评标。 </w:t>
      </w:r>
    </w:p>
    <w:p w14:paraId="2264287D">
      <w:pPr>
        <w:pStyle w:val="3"/>
        <w:widowControl/>
        <w:shd w:val="clear" w:color="auto" w:fill="FFFFFF"/>
        <w:spacing w:beforeAutospacing="0" w:afterAutospacing="0" w:line="360" w:lineRule="auto"/>
        <w:ind w:firstLine="420" w:firstLineChars="200"/>
        <w:jc w:val="both"/>
        <w:rPr>
          <w:rFonts w:cs="宋体"/>
          <w:b w:val="0"/>
          <w:bCs w:val="0"/>
          <w:color w:val="auto"/>
          <w:sz w:val="21"/>
          <w:szCs w:val="21"/>
          <w:shd w:val="clear" w:color="auto" w:fill="FFFFFF"/>
        </w:rPr>
      </w:pPr>
      <w:r>
        <w:rPr>
          <w:rFonts w:cs="宋体"/>
          <w:b w:val="0"/>
          <w:bCs w:val="0"/>
          <w:color w:val="auto"/>
          <w:sz w:val="21"/>
          <w:szCs w:val="21"/>
          <w:shd w:val="clear" w:color="auto" w:fill="FFFFFF"/>
        </w:rPr>
        <w:t>如潜在投标人未按上述要求操作，将自行承担所产生的风险。</w:t>
      </w:r>
    </w:p>
    <w:p w14:paraId="7771FE60">
      <w:pPr>
        <w:pStyle w:val="3"/>
        <w:widowControl/>
        <w:shd w:val="clear" w:color="auto" w:fill="FFFFFF"/>
        <w:spacing w:beforeAutospacing="0" w:afterAutospacing="0" w:line="360" w:lineRule="auto"/>
        <w:ind w:firstLine="420" w:firstLineChars="200"/>
        <w:jc w:val="both"/>
        <w:rPr>
          <w:rFonts w:cs="宋体"/>
          <w:b w:val="0"/>
          <w:bCs w:val="0"/>
          <w:color w:val="auto"/>
          <w:sz w:val="21"/>
          <w:szCs w:val="21"/>
          <w:shd w:val="clear" w:color="auto" w:fill="FFFFFF"/>
        </w:rPr>
      </w:pPr>
      <w:r>
        <w:rPr>
          <w:rFonts w:hint="eastAsia" w:cs="宋体"/>
          <w:b w:val="0"/>
          <w:bCs w:val="0"/>
          <w:color w:val="auto"/>
          <w:sz w:val="21"/>
          <w:szCs w:val="21"/>
          <w:shd w:val="clear" w:color="auto" w:fill="FFFFFF"/>
          <w:lang w:val="en-US" w:eastAsia="zh-CN"/>
        </w:rPr>
        <w:t>6</w:t>
      </w:r>
      <w:r>
        <w:rPr>
          <w:rFonts w:cs="宋体"/>
          <w:b w:val="0"/>
          <w:bCs w:val="0"/>
          <w:color w:val="auto"/>
          <w:sz w:val="21"/>
          <w:szCs w:val="21"/>
          <w:shd w:val="clear" w:color="auto" w:fill="FFFFFF"/>
        </w:rPr>
        <w:t>.有关本次招标的事项若存在变动或修改，敬请及时关注盐城市政府采购中心在“中国政府采购网”、“江苏政府采购网”、“盐城市政府采购网”发布的更正公告。</w:t>
      </w:r>
    </w:p>
    <w:p w14:paraId="78C519D2">
      <w:pPr>
        <w:pStyle w:val="3"/>
        <w:widowControl/>
        <w:shd w:val="clear" w:color="auto" w:fill="FFFFFF"/>
        <w:spacing w:beforeAutospacing="0" w:afterAutospacing="0" w:line="360" w:lineRule="auto"/>
        <w:ind w:firstLine="420" w:firstLineChars="200"/>
        <w:jc w:val="both"/>
        <w:rPr>
          <w:rFonts w:hint="eastAsia" w:cs="宋体"/>
          <w:b w:val="0"/>
          <w:bCs w:val="0"/>
          <w:color w:val="333333"/>
          <w:sz w:val="21"/>
          <w:szCs w:val="21"/>
          <w:highlight w:val="none"/>
          <w:shd w:val="clear" w:color="auto" w:fill="FFFFFF"/>
        </w:rPr>
      </w:pPr>
      <w:r>
        <w:rPr>
          <w:rFonts w:hint="eastAsia" w:cs="宋体"/>
          <w:b w:val="0"/>
          <w:bCs w:val="0"/>
          <w:color w:val="auto"/>
          <w:sz w:val="21"/>
          <w:szCs w:val="21"/>
          <w:shd w:val="clear" w:color="auto" w:fill="FFFFFF"/>
          <w:lang w:val="en-US" w:eastAsia="zh-CN"/>
        </w:rPr>
        <w:t>7</w:t>
      </w:r>
      <w:r>
        <w:rPr>
          <w:rFonts w:cs="宋体"/>
          <w:b w:val="0"/>
          <w:bCs w:val="0"/>
          <w:color w:val="auto"/>
          <w:sz w:val="21"/>
          <w:szCs w:val="21"/>
          <w:shd w:val="clear" w:color="auto" w:fill="FFFFFF"/>
        </w:rPr>
        <w:t>.本次招标不收取投标保证金。</w:t>
      </w:r>
    </w:p>
    <w:p w14:paraId="0EE074BC">
      <w:pPr>
        <w:keepLines w:val="0"/>
        <w:pageBreakBefore w:val="0"/>
        <w:spacing w:line="460" w:lineRule="exact"/>
        <w:ind w:firstLine="482"/>
        <w:rPr>
          <w:rFonts w:hint="eastAsia" w:ascii="宋体" w:hAnsi="宋体" w:cs="宋体"/>
          <w:b/>
          <w:bCs/>
          <w:sz w:val="21"/>
          <w:szCs w:val="21"/>
        </w:rPr>
      </w:pPr>
      <w:r>
        <w:rPr>
          <w:rFonts w:hint="eastAsia" w:ascii="宋体" w:hAnsi="宋体" w:cs="宋体"/>
          <w:b/>
          <w:bCs/>
          <w:sz w:val="21"/>
          <w:szCs w:val="21"/>
          <w:lang w:val="en-US" w:eastAsia="zh-CN"/>
        </w:rPr>
        <w:t>七</w:t>
      </w:r>
      <w:r>
        <w:rPr>
          <w:rFonts w:hint="eastAsia" w:ascii="宋体" w:hAnsi="宋体" w:cs="宋体"/>
          <w:b/>
          <w:bCs/>
          <w:sz w:val="21"/>
          <w:szCs w:val="21"/>
        </w:rPr>
        <w:t>、对本次招标提出询问，请按以下方式联系。</w:t>
      </w:r>
    </w:p>
    <w:bookmarkEnd w:id="11"/>
    <w:bookmarkEnd w:id="12"/>
    <w:bookmarkEnd w:id="13"/>
    <w:bookmarkEnd w:id="14"/>
    <w:p w14:paraId="5E9819FF">
      <w:pPr>
        <w:keepLines w:val="0"/>
        <w:pageBreakBefore w:val="0"/>
        <w:widowControl/>
        <w:spacing w:line="460" w:lineRule="exact"/>
        <w:ind w:firstLine="480"/>
        <w:jc w:val="left"/>
        <w:rPr>
          <w:rFonts w:hint="eastAsia" w:ascii="宋体" w:hAnsi="宋体"/>
          <w:bCs/>
          <w:sz w:val="21"/>
          <w:szCs w:val="21"/>
        </w:rPr>
      </w:pPr>
      <w:bookmarkStart w:id="31" w:name="_Toc120614211"/>
      <w:r>
        <w:rPr>
          <w:rFonts w:hint="eastAsia" w:ascii="宋体" w:hAnsi="宋体"/>
          <w:bCs/>
          <w:sz w:val="21"/>
          <w:szCs w:val="21"/>
        </w:rPr>
        <w:t>1.采购人信息</w:t>
      </w:r>
    </w:p>
    <w:p w14:paraId="0B30B840">
      <w:pPr>
        <w:keepLines w:val="0"/>
        <w:pageBreakBefore w:val="0"/>
        <w:widowControl/>
        <w:spacing w:line="460" w:lineRule="exact"/>
        <w:ind w:firstLine="480"/>
        <w:jc w:val="left"/>
        <w:rPr>
          <w:rFonts w:hint="eastAsia" w:ascii="宋体" w:hAnsi="宋体"/>
          <w:bCs/>
          <w:sz w:val="21"/>
          <w:szCs w:val="21"/>
          <w:lang w:eastAsia="zh-CN"/>
        </w:rPr>
      </w:pPr>
      <w:r>
        <w:rPr>
          <w:rFonts w:hint="eastAsia" w:ascii="宋体" w:hAnsi="宋体"/>
          <w:bCs/>
          <w:sz w:val="21"/>
          <w:szCs w:val="21"/>
        </w:rPr>
        <w:t>名    称：</w:t>
      </w:r>
      <w:r>
        <w:rPr>
          <w:rFonts w:hint="eastAsia" w:ascii="宋体" w:hAnsi="宋体"/>
          <w:bCs/>
          <w:sz w:val="21"/>
          <w:szCs w:val="21"/>
          <w:lang w:eastAsia="zh-CN"/>
        </w:rPr>
        <w:t>盐城市大丰区新丰镇人民政府</w:t>
      </w:r>
    </w:p>
    <w:p w14:paraId="0E31A8B7">
      <w:pPr>
        <w:keepLines w:val="0"/>
        <w:pageBreakBefore w:val="0"/>
        <w:widowControl/>
        <w:spacing w:line="460" w:lineRule="exact"/>
        <w:ind w:firstLine="480"/>
        <w:jc w:val="left"/>
        <w:rPr>
          <w:rFonts w:hint="eastAsia" w:ascii="宋体" w:hAnsi="宋体"/>
          <w:bCs/>
          <w:sz w:val="21"/>
          <w:szCs w:val="21"/>
          <w:lang w:eastAsia="zh-CN"/>
        </w:rPr>
      </w:pPr>
      <w:r>
        <w:rPr>
          <w:rFonts w:hint="eastAsia" w:ascii="宋体" w:hAnsi="宋体"/>
          <w:bCs/>
          <w:sz w:val="21"/>
          <w:szCs w:val="21"/>
        </w:rPr>
        <w:t>地    址：江苏省盐城市大丰区新丰镇健康路2号</w:t>
      </w:r>
    </w:p>
    <w:p w14:paraId="155C71AD">
      <w:pPr>
        <w:keepLines w:val="0"/>
        <w:pageBreakBefore w:val="0"/>
        <w:widowControl/>
        <w:spacing w:line="460" w:lineRule="exact"/>
        <w:ind w:firstLine="480"/>
        <w:jc w:val="left"/>
        <w:rPr>
          <w:rFonts w:hint="eastAsia" w:ascii="宋体" w:hAnsi="宋体"/>
          <w:bCs/>
          <w:sz w:val="21"/>
          <w:szCs w:val="21"/>
        </w:rPr>
      </w:pPr>
      <w:r>
        <w:rPr>
          <w:rFonts w:hint="eastAsia" w:ascii="宋体" w:hAnsi="宋体"/>
          <w:bCs/>
          <w:sz w:val="21"/>
          <w:szCs w:val="21"/>
        </w:rPr>
        <w:t>联系人：</w:t>
      </w:r>
      <w:r>
        <w:rPr>
          <w:rFonts w:hint="eastAsia" w:ascii="宋体" w:hAnsi="宋体"/>
          <w:bCs/>
          <w:sz w:val="21"/>
          <w:szCs w:val="21"/>
          <w:lang w:val="en-US" w:eastAsia="zh-CN"/>
        </w:rPr>
        <w:t>姜晨</w:t>
      </w:r>
      <w:r>
        <w:rPr>
          <w:rFonts w:hint="eastAsia" w:ascii="宋体" w:hAnsi="宋体"/>
          <w:bCs/>
          <w:sz w:val="21"/>
          <w:szCs w:val="21"/>
        </w:rPr>
        <w:t xml:space="preserve">     </w:t>
      </w:r>
    </w:p>
    <w:p w14:paraId="40C6F86D">
      <w:pPr>
        <w:keepLines w:val="0"/>
        <w:pageBreakBefore w:val="0"/>
        <w:widowControl/>
        <w:spacing w:line="460" w:lineRule="exact"/>
        <w:ind w:firstLine="480"/>
        <w:jc w:val="left"/>
        <w:rPr>
          <w:rFonts w:hint="eastAsia" w:ascii="宋体" w:hAnsi="宋体"/>
          <w:bCs/>
          <w:sz w:val="21"/>
          <w:szCs w:val="21"/>
          <w:lang w:val="en-US" w:eastAsia="zh-CN"/>
        </w:rPr>
      </w:pPr>
      <w:r>
        <w:rPr>
          <w:rFonts w:hint="eastAsia" w:ascii="宋体" w:hAnsi="宋体"/>
          <w:bCs/>
          <w:sz w:val="21"/>
          <w:szCs w:val="21"/>
        </w:rPr>
        <w:t>联系电话：</w:t>
      </w:r>
      <w:r>
        <w:rPr>
          <w:rFonts w:hint="eastAsia" w:ascii="宋体" w:hAnsi="宋体"/>
          <w:bCs/>
          <w:sz w:val="21"/>
          <w:szCs w:val="21"/>
          <w:lang w:val="en-US" w:eastAsia="zh-CN"/>
        </w:rPr>
        <w:t>15365662835</w:t>
      </w:r>
    </w:p>
    <w:p w14:paraId="553B0ED2">
      <w:pPr>
        <w:keepLines w:val="0"/>
        <w:pageBreakBefore w:val="0"/>
        <w:widowControl/>
        <w:spacing w:line="460" w:lineRule="exact"/>
        <w:ind w:firstLine="480"/>
        <w:jc w:val="left"/>
        <w:rPr>
          <w:rFonts w:hint="eastAsia" w:ascii="宋体" w:hAnsi="宋体"/>
          <w:bCs/>
          <w:sz w:val="21"/>
          <w:szCs w:val="21"/>
        </w:rPr>
      </w:pPr>
      <w:r>
        <w:rPr>
          <w:rFonts w:hint="eastAsia" w:ascii="宋体" w:hAnsi="宋体"/>
          <w:bCs/>
          <w:sz w:val="21"/>
          <w:szCs w:val="21"/>
        </w:rPr>
        <w:t>2.采购代理机构信息</w:t>
      </w:r>
    </w:p>
    <w:p w14:paraId="107C4384">
      <w:pPr>
        <w:keepLines w:val="0"/>
        <w:pageBreakBefore w:val="0"/>
        <w:widowControl/>
        <w:spacing w:line="460" w:lineRule="exact"/>
        <w:ind w:firstLine="480"/>
        <w:jc w:val="left"/>
        <w:rPr>
          <w:rFonts w:hint="eastAsia" w:ascii="宋体" w:hAnsi="宋体"/>
          <w:bCs/>
          <w:sz w:val="21"/>
          <w:szCs w:val="21"/>
          <w:lang w:eastAsia="zh-CN"/>
        </w:rPr>
      </w:pPr>
      <w:r>
        <w:rPr>
          <w:rFonts w:hint="eastAsia" w:ascii="宋体" w:hAnsi="宋体"/>
          <w:bCs/>
          <w:sz w:val="21"/>
          <w:szCs w:val="21"/>
        </w:rPr>
        <w:t>名    称：</w:t>
      </w:r>
      <w:r>
        <w:rPr>
          <w:rFonts w:hint="eastAsia" w:ascii="宋体" w:hAnsi="宋体"/>
          <w:bCs/>
          <w:sz w:val="21"/>
          <w:szCs w:val="21"/>
          <w:lang w:eastAsia="zh-CN"/>
        </w:rPr>
        <w:t xml:space="preserve">盐城铭源项目管理有限公司   </w:t>
      </w:r>
    </w:p>
    <w:p w14:paraId="253C9126">
      <w:pPr>
        <w:keepLines w:val="0"/>
        <w:pageBreakBefore w:val="0"/>
        <w:widowControl/>
        <w:spacing w:line="460" w:lineRule="exact"/>
        <w:ind w:firstLine="480"/>
        <w:jc w:val="left"/>
        <w:rPr>
          <w:rFonts w:hint="eastAsia" w:ascii="宋体" w:hAnsi="宋体"/>
          <w:bCs/>
          <w:sz w:val="21"/>
          <w:szCs w:val="21"/>
        </w:rPr>
      </w:pPr>
      <w:r>
        <w:rPr>
          <w:rFonts w:hint="eastAsia" w:ascii="宋体" w:hAnsi="宋体"/>
          <w:bCs/>
          <w:sz w:val="21"/>
          <w:szCs w:val="21"/>
        </w:rPr>
        <w:t>地　　址：</w:t>
      </w:r>
      <w:r>
        <w:rPr>
          <w:rFonts w:hint="eastAsia" w:ascii="宋体" w:hAnsi="宋体"/>
          <w:bCs/>
          <w:sz w:val="21"/>
          <w:szCs w:val="21"/>
          <w:lang w:eastAsia="zh-CN"/>
        </w:rPr>
        <w:t>盐城市大丰区春柳北路西侧东方一号创意小镇2栋五楼503室</w:t>
      </w:r>
    </w:p>
    <w:p w14:paraId="5852EC2F">
      <w:pPr>
        <w:keepLines w:val="0"/>
        <w:pageBreakBefore w:val="0"/>
        <w:widowControl/>
        <w:spacing w:line="460" w:lineRule="exact"/>
        <w:ind w:firstLine="480"/>
        <w:jc w:val="left"/>
        <w:rPr>
          <w:rFonts w:hint="eastAsia" w:ascii="宋体" w:hAnsi="宋体"/>
          <w:bCs/>
          <w:sz w:val="21"/>
          <w:szCs w:val="21"/>
        </w:rPr>
      </w:pPr>
      <w:r>
        <w:rPr>
          <w:rFonts w:hint="eastAsia" w:ascii="宋体" w:hAnsi="宋体"/>
          <w:bCs/>
          <w:sz w:val="21"/>
          <w:szCs w:val="21"/>
        </w:rPr>
        <w:t xml:space="preserve">联系人：朱明华                            </w:t>
      </w:r>
    </w:p>
    <w:p w14:paraId="66C83084">
      <w:pPr>
        <w:keepLines w:val="0"/>
        <w:pageBreakBefore w:val="0"/>
        <w:widowControl/>
        <w:spacing w:line="460" w:lineRule="exact"/>
        <w:ind w:firstLine="480"/>
        <w:jc w:val="left"/>
        <w:rPr>
          <w:rFonts w:hint="eastAsia" w:ascii="宋体" w:hAnsi="宋体"/>
          <w:bCs/>
          <w:sz w:val="21"/>
          <w:szCs w:val="21"/>
          <w:lang w:eastAsia="zh-CN"/>
        </w:rPr>
      </w:pPr>
      <w:r>
        <w:rPr>
          <w:rFonts w:hint="eastAsia" w:ascii="宋体" w:hAnsi="宋体"/>
          <w:bCs/>
          <w:sz w:val="21"/>
          <w:szCs w:val="21"/>
          <w:lang w:eastAsia="zh-CN"/>
        </w:rPr>
        <w:t>联系电话：</w:t>
      </w:r>
      <w:r>
        <w:rPr>
          <w:rFonts w:hint="eastAsia" w:ascii="宋体" w:hAnsi="宋体"/>
          <w:bCs/>
          <w:sz w:val="21"/>
          <w:szCs w:val="21"/>
          <w:lang w:val="en-US" w:eastAsia="zh-CN"/>
        </w:rPr>
        <w:t>15950328102</w:t>
      </w:r>
      <w:r>
        <w:rPr>
          <w:rFonts w:hint="eastAsia" w:ascii="宋体" w:hAnsi="宋体"/>
          <w:bCs/>
          <w:sz w:val="21"/>
          <w:szCs w:val="21"/>
          <w:lang w:eastAsia="zh-CN"/>
        </w:rPr>
        <w:t xml:space="preserve"> 　  　 </w:t>
      </w:r>
    </w:p>
    <w:p w14:paraId="15E96CB4">
      <w:pPr>
        <w:keepLines w:val="0"/>
        <w:pageBreakBefore w:val="0"/>
        <w:widowControl/>
        <w:spacing w:line="460" w:lineRule="exact"/>
        <w:ind w:firstLine="480"/>
        <w:jc w:val="left"/>
        <w:rPr>
          <w:rFonts w:hint="eastAsia" w:ascii="宋体" w:hAnsi="宋体"/>
          <w:bCs/>
          <w:sz w:val="21"/>
          <w:szCs w:val="21"/>
          <w:lang w:eastAsia="zh-CN"/>
        </w:rPr>
      </w:pPr>
      <w:r>
        <w:rPr>
          <w:rFonts w:hint="eastAsia" w:ascii="宋体" w:hAnsi="宋体"/>
          <w:bCs/>
          <w:sz w:val="21"/>
          <w:szCs w:val="21"/>
          <w:lang w:eastAsia="zh-CN"/>
        </w:rPr>
        <w:t>3.项目联系方式</w:t>
      </w:r>
    </w:p>
    <w:p w14:paraId="2CC81E96">
      <w:pPr>
        <w:keepLines w:val="0"/>
        <w:pageBreakBefore w:val="0"/>
        <w:widowControl/>
        <w:spacing w:line="460" w:lineRule="exact"/>
        <w:ind w:firstLine="480"/>
        <w:jc w:val="left"/>
        <w:rPr>
          <w:rFonts w:hint="eastAsia" w:ascii="宋体" w:hAnsi="宋体"/>
          <w:bCs/>
          <w:sz w:val="21"/>
          <w:szCs w:val="21"/>
          <w:lang w:eastAsia="zh-CN"/>
        </w:rPr>
      </w:pPr>
      <w:r>
        <w:rPr>
          <w:rFonts w:hint="eastAsia" w:ascii="宋体" w:hAnsi="宋体"/>
          <w:bCs/>
          <w:sz w:val="21"/>
          <w:szCs w:val="21"/>
          <w:lang w:eastAsia="zh-CN"/>
        </w:rPr>
        <w:t>联系人：</w:t>
      </w:r>
      <w:r>
        <w:rPr>
          <w:rFonts w:hint="eastAsia" w:ascii="宋体" w:hAnsi="宋体"/>
          <w:bCs/>
          <w:sz w:val="21"/>
          <w:szCs w:val="21"/>
          <w:lang w:val="en-US" w:eastAsia="zh-CN"/>
        </w:rPr>
        <w:t>朱明华</w:t>
      </w:r>
      <w:r>
        <w:rPr>
          <w:rFonts w:hint="eastAsia" w:ascii="宋体" w:hAnsi="宋体"/>
          <w:bCs/>
          <w:sz w:val="21"/>
          <w:szCs w:val="21"/>
          <w:lang w:eastAsia="zh-CN"/>
        </w:rPr>
        <w:t xml:space="preserve">                           </w:t>
      </w:r>
    </w:p>
    <w:p w14:paraId="03F19D89">
      <w:pPr>
        <w:keepLines w:val="0"/>
        <w:pageBreakBefore w:val="0"/>
        <w:widowControl/>
        <w:spacing w:line="460" w:lineRule="exact"/>
        <w:ind w:firstLine="480"/>
        <w:jc w:val="left"/>
        <w:rPr>
          <w:rFonts w:hint="eastAsia" w:ascii="宋体" w:hAnsi="宋体"/>
          <w:bCs/>
          <w:sz w:val="21"/>
          <w:szCs w:val="21"/>
          <w:lang w:eastAsia="zh-CN"/>
        </w:rPr>
      </w:pPr>
      <w:r>
        <w:rPr>
          <w:rFonts w:hint="eastAsia" w:ascii="宋体" w:hAnsi="宋体"/>
          <w:bCs/>
          <w:sz w:val="21"/>
          <w:szCs w:val="21"/>
          <w:lang w:eastAsia="zh-CN"/>
        </w:rPr>
        <w:t>联系电话：</w:t>
      </w:r>
      <w:r>
        <w:rPr>
          <w:rFonts w:hint="eastAsia" w:ascii="宋体" w:hAnsi="宋体"/>
          <w:bCs/>
          <w:sz w:val="21"/>
          <w:szCs w:val="21"/>
          <w:lang w:val="en-US" w:eastAsia="zh-CN"/>
        </w:rPr>
        <w:t>15950328102</w:t>
      </w:r>
    </w:p>
    <w:p w14:paraId="65ABD58C">
      <w:pPr>
        <w:keepLines w:val="0"/>
        <w:pageBreakBefore w:val="0"/>
        <w:widowControl/>
        <w:spacing w:line="460" w:lineRule="exact"/>
        <w:ind w:firstLine="480"/>
        <w:jc w:val="left"/>
        <w:rPr>
          <w:rFonts w:hint="eastAsia" w:ascii="宋体" w:hAnsi="宋体"/>
          <w:bCs/>
          <w:sz w:val="21"/>
          <w:szCs w:val="21"/>
          <w:lang w:eastAsia="zh-CN"/>
        </w:rPr>
      </w:pPr>
      <w:r>
        <w:rPr>
          <w:rFonts w:hint="eastAsia" w:ascii="宋体" w:hAnsi="宋体"/>
          <w:bCs/>
          <w:sz w:val="21"/>
          <w:szCs w:val="21"/>
          <w:lang w:eastAsia="zh-CN"/>
        </w:rPr>
        <w:t>4.软件技术支持：0519-86722805</w:t>
      </w:r>
    </w:p>
    <w:p w14:paraId="5E49CEFF">
      <w:pPr>
        <w:spacing w:line="360" w:lineRule="auto"/>
        <w:jc w:val="both"/>
        <w:rPr>
          <w:rFonts w:hint="eastAsia" w:ascii="黑体" w:eastAsia="黑体"/>
          <w:sz w:val="36"/>
          <w:szCs w:val="36"/>
        </w:rPr>
      </w:pPr>
    </w:p>
    <w:p w14:paraId="5863CCA0">
      <w:pPr>
        <w:spacing w:line="360" w:lineRule="auto"/>
        <w:jc w:val="both"/>
        <w:rPr>
          <w:rFonts w:hint="eastAsia" w:ascii="黑体" w:eastAsia="黑体"/>
          <w:sz w:val="36"/>
          <w:szCs w:val="36"/>
        </w:rPr>
      </w:pPr>
    </w:p>
    <w:p w14:paraId="7E6B9153">
      <w:pPr>
        <w:spacing w:line="360" w:lineRule="auto"/>
        <w:jc w:val="both"/>
        <w:rPr>
          <w:rFonts w:hint="eastAsia" w:ascii="黑体" w:eastAsia="黑体"/>
          <w:sz w:val="36"/>
          <w:szCs w:val="36"/>
        </w:rPr>
      </w:pPr>
    </w:p>
    <w:bookmarkEnd w:id="1"/>
    <w:bookmarkEnd w:id="2"/>
    <w:bookmarkEnd w:id="3"/>
    <w:bookmarkEnd w:id="4"/>
    <w:bookmarkEnd w:id="5"/>
    <w:bookmarkEnd w:id="31"/>
    <w:p w14:paraId="73768DF5">
      <w:pPr>
        <w:rPr>
          <w:rFonts w:hint="eastAsia"/>
          <w:lang w:val="en-US" w:eastAsia="zh-CN"/>
        </w:rPr>
      </w:pPr>
      <w:bookmarkStart w:id="32" w:name="_Toc16938519"/>
      <w:bookmarkStart w:id="33" w:name="_Toc513029203"/>
      <w:bookmarkStart w:id="34" w:name="_Toc20823275"/>
      <w:bookmarkStart w:id="35" w:name="_Toc120614214"/>
    </w:p>
    <w:bookmarkEnd w:id="32"/>
    <w:bookmarkEnd w:id="33"/>
    <w:bookmarkEnd w:id="34"/>
    <w:bookmarkEnd w:id="35"/>
    <w:p w14:paraId="79720193">
      <w:pPr>
        <w:pStyle w:val="13"/>
        <w:keepNext/>
        <w:keepLines/>
        <w:pageBreakBefore w:val="0"/>
        <w:kinsoku/>
        <w:wordWrap/>
        <w:overflowPunct/>
        <w:topLinePunct w:val="0"/>
        <w:autoSpaceDE/>
        <w:autoSpaceDN/>
        <w:bidi w:val="0"/>
        <w:adjustRightInd/>
        <w:snapToGrid/>
        <w:spacing w:beforeAutospacing="0" w:afterAutospacing="0" w:line="360" w:lineRule="auto"/>
        <w:ind w:firstLine="498"/>
        <w:jc w:val="center"/>
        <w:rPr>
          <w:rFonts w:hint="eastAsia" w:ascii="宋体" w:hAnsi="宋体" w:eastAsia="宋体" w:cs="宋体"/>
          <w:b/>
          <w:color w:val="auto"/>
          <w:sz w:val="40"/>
          <w:szCs w:val="40"/>
        </w:rPr>
      </w:pPr>
      <w:bookmarkStart w:id="36" w:name="_Hlt16619475"/>
      <w:bookmarkEnd w:id="36"/>
      <w:bookmarkStart w:id="37" w:name="_Toc479757207"/>
      <w:bookmarkStart w:id="38" w:name="_Toc120614221"/>
      <w:bookmarkStart w:id="39" w:name="_Toc20823314"/>
      <w:bookmarkStart w:id="40" w:name="_Toc16938558"/>
      <w:bookmarkStart w:id="41" w:name="_Toc513029242"/>
      <w:r>
        <w:rPr>
          <w:rFonts w:hint="eastAsia" w:ascii="宋体" w:hAnsi="宋体" w:eastAsia="宋体" w:cs="宋体"/>
          <w:b/>
          <w:color w:val="auto"/>
          <w:sz w:val="40"/>
          <w:szCs w:val="40"/>
        </w:rPr>
        <w:t>第二章  投标人须知</w:t>
      </w:r>
    </w:p>
    <w:p w14:paraId="67ECAD80">
      <w:pPr>
        <w:pStyle w:val="13"/>
        <w:keepNext/>
        <w:keepLines/>
        <w:pageBreakBefore w:val="0"/>
        <w:kinsoku/>
        <w:wordWrap/>
        <w:overflowPunct/>
        <w:topLinePunct w:val="0"/>
        <w:autoSpaceDE/>
        <w:autoSpaceDN/>
        <w:bidi w:val="0"/>
        <w:adjustRightInd/>
        <w:snapToGrid/>
        <w:spacing w:beforeAutospacing="0" w:afterAutospacing="0" w:line="360" w:lineRule="auto"/>
        <w:ind w:firstLine="498"/>
        <w:jc w:val="both"/>
        <w:rPr>
          <w:rFonts w:hint="eastAsia" w:ascii="宋体" w:hAnsi="宋体" w:eastAsia="宋体" w:cs="宋体"/>
          <w:sz w:val="21"/>
          <w:szCs w:val="21"/>
          <w:highlight w:val="none"/>
        </w:rPr>
      </w:pPr>
      <w:r>
        <w:rPr>
          <w:rFonts w:hint="eastAsia" w:ascii="宋体" w:hAnsi="宋体" w:eastAsia="宋体" w:cs="宋体"/>
          <w:b/>
          <w:color w:val="000000"/>
          <w:sz w:val="21"/>
          <w:szCs w:val="21"/>
          <w:highlight w:val="none"/>
        </w:rPr>
        <w:t>一、总则</w:t>
      </w:r>
    </w:p>
    <w:p w14:paraId="01969215">
      <w:pPr>
        <w:pStyle w:val="13"/>
        <w:keepNext/>
        <w:keepLines/>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000000"/>
          <w:sz w:val="21"/>
          <w:szCs w:val="21"/>
          <w:highlight w:val="none"/>
        </w:rPr>
      </w:pPr>
      <w:bookmarkStart w:id="42" w:name="_Toc513029204"/>
      <w:bookmarkEnd w:id="42"/>
      <w:bookmarkStart w:id="43" w:name="_Toc16938520"/>
      <w:bookmarkEnd w:id="43"/>
      <w:bookmarkStart w:id="44" w:name="_Toc458694821"/>
      <w:bookmarkEnd w:id="44"/>
      <w:bookmarkStart w:id="45" w:name="_Toc20823276"/>
      <w:bookmarkEnd w:id="45"/>
      <w:r>
        <w:rPr>
          <w:rFonts w:hint="eastAsia" w:ascii="宋体" w:hAnsi="宋体" w:eastAsia="宋体" w:cs="宋体"/>
          <w:color w:val="000000"/>
          <w:sz w:val="21"/>
          <w:szCs w:val="21"/>
          <w:highlight w:val="none"/>
        </w:rPr>
        <w:t>1、招标方式</w:t>
      </w:r>
    </w:p>
    <w:p w14:paraId="1F902C0B">
      <w:pPr>
        <w:pStyle w:val="13"/>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1.1本次招标采取公开招标方式，本招标文件仅适用于招标公告中所述项目。</w:t>
      </w:r>
    </w:p>
    <w:p w14:paraId="72E2650D">
      <w:pPr>
        <w:pStyle w:val="13"/>
        <w:keepNext/>
        <w:keepLines/>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000000"/>
          <w:sz w:val="21"/>
          <w:szCs w:val="21"/>
          <w:highlight w:val="none"/>
        </w:rPr>
      </w:pPr>
      <w:bookmarkStart w:id="46" w:name="_Toc16938521"/>
      <w:bookmarkEnd w:id="46"/>
      <w:bookmarkStart w:id="47" w:name="_Toc20823277"/>
      <w:bookmarkEnd w:id="47"/>
      <w:bookmarkStart w:id="48" w:name="_Toc513029205"/>
      <w:bookmarkEnd w:id="48"/>
      <w:r>
        <w:rPr>
          <w:rFonts w:hint="eastAsia" w:ascii="宋体" w:hAnsi="宋体" w:eastAsia="宋体" w:cs="宋体"/>
          <w:color w:val="000000"/>
          <w:sz w:val="21"/>
          <w:szCs w:val="21"/>
          <w:highlight w:val="none"/>
        </w:rPr>
        <w:t>2、合格的投标人</w:t>
      </w:r>
    </w:p>
    <w:p w14:paraId="1382EF57">
      <w:pPr>
        <w:pStyle w:val="13"/>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2.1满足招标公告中供应商的资格要求的规定。</w:t>
      </w:r>
    </w:p>
    <w:p w14:paraId="34E535D6">
      <w:pPr>
        <w:pStyle w:val="13"/>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2.2满足本文件实质性要求和条件的规定。</w:t>
      </w:r>
    </w:p>
    <w:p w14:paraId="62B9EAF7">
      <w:pPr>
        <w:pStyle w:val="13"/>
        <w:keepNext/>
        <w:keepLines/>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000000"/>
          <w:sz w:val="21"/>
          <w:szCs w:val="21"/>
          <w:highlight w:val="none"/>
        </w:rPr>
      </w:pPr>
      <w:bookmarkStart w:id="49" w:name="_Toc16938522"/>
      <w:bookmarkEnd w:id="49"/>
      <w:bookmarkStart w:id="50" w:name="_Toc20823278"/>
      <w:bookmarkEnd w:id="50"/>
      <w:bookmarkStart w:id="51" w:name="_Toc513029206"/>
      <w:bookmarkEnd w:id="51"/>
      <w:r>
        <w:rPr>
          <w:rFonts w:hint="eastAsia" w:ascii="宋体" w:hAnsi="宋体" w:eastAsia="宋体" w:cs="宋体"/>
          <w:color w:val="000000"/>
          <w:sz w:val="21"/>
          <w:szCs w:val="21"/>
          <w:highlight w:val="none"/>
        </w:rPr>
        <w:t>3、适用法律</w:t>
      </w:r>
    </w:p>
    <w:p w14:paraId="0B322039">
      <w:pPr>
        <w:pStyle w:val="13"/>
        <w:pageBreakBefore w:val="0"/>
        <w:kinsoku/>
        <w:wordWrap/>
        <w:overflowPunct/>
        <w:topLinePunct w:val="0"/>
        <w:autoSpaceDE/>
        <w:autoSpaceDN/>
        <w:bidi w:val="0"/>
        <w:adjustRightInd/>
        <w:snapToGrid/>
        <w:spacing w:beforeAutospacing="0" w:afterAutospacing="0" w:line="360" w:lineRule="auto"/>
        <w:ind w:firstLine="42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3.1本次招标及由此产生的合同受中华人民共和国有关的法律法规制约和保护。</w:t>
      </w:r>
    </w:p>
    <w:p w14:paraId="43CC4C66">
      <w:pPr>
        <w:pStyle w:val="13"/>
        <w:keepNext/>
        <w:keepLines/>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000000"/>
          <w:sz w:val="21"/>
          <w:szCs w:val="21"/>
          <w:highlight w:val="none"/>
        </w:rPr>
      </w:pPr>
      <w:bookmarkStart w:id="52" w:name="_Toc462564067"/>
      <w:bookmarkEnd w:id="52"/>
      <w:bookmarkStart w:id="53" w:name="_Toc513029207"/>
      <w:bookmarkEnd w:id="53"/>
      <w:bookmarkStart w:id="54" w:name="_Toc20823279"/>
      <w:bookmarkEnd w:id="54"/>
      <w:bookmarkStart w:id="55" w:name="_Toc16938523"/>
      <w:bookmarkEnd w:id="55"/>
      <w:r>
        <w:rPr>
          <w:rFonts w:hint="eastAsia" w:ascii="宋体" w:hAnsi="宋体" w:eastAsia="宋体" w:cs="宋体"/>
          <w:color w:val="000000"/>
          <w:sz w:val="21"/>
          <w:szCs w:val="21"/>
          <w:highlight w:val="none"/>
        </w:rPr>
        <w:t>4、投标费用</w:t>
      </w:r>
    </w:p>
    <w:p w14:paraId="48F02BDA">
      <w:pPr>
        <w:pStyle w:val="13"/>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4.1投标人应自行承担所有与参加投标有关的费用，无论投标过程中的做法和结果如何，</w:t>
      </w:r>
      <w:r>
        <w:rPr>
          <w:rFonts w:hint="eastAsia" w:ascii="宋体" w:hAnsi="宋体" w:eastAsia="宋体" w:cs="宋体"/>
          <w:color w:val="000000"/>
          <w:sz w:val="21"/>
          <w:szCs w:val="21"/>
          <w:highlight w:val="none"/>
          <w:lang w:eastAsia="zh-CN"/>
        </w:rPr>
        <w:t>采购人</w:t>
      </w:r>
      <w:r>
        <w:rPr>
          <w:rFonts w:hint="eastAsia" w:ascii="宋体" w:hAnsi="宋体" w:eastAsia="宋体" w:cs="宋体"/>
          <w:color w:val="000000"/>
          <w:sz w:val="21"/>
          <w:szCs w:val="21"/>
          <w:highlight w:val="none"/>
        </w:rPr>
        <w:t>在任何情况下均无义务和责任承担这些费用。</w:t>
      </w:r>
    </w:p>
    <w:p w14:paraId="5957587C">
      <w:pPr>
        <w:pStyle w:val="13"/>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4.2招标代理服务费：本项目招标代理费向中标单位收取，招标代理费参照苏招协[2022]002号文件规定服务类标准缴纳；请投标人考虑在投标报价中，但不单列，自行分摊至投标报价中。</w:t>
      </w:r>
    </w:p>
    <w:p w14:paraId="63F81905">
      <w:pPr>
        <w:pStyle w:val="13"/>
        <w:keepNext/>
        <w:keepLines/>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5、招标文件的约束力</w:t>
      </w:r>
    </w:p>
    <w:p w14:paraId="02B38BA8">
      <w:pPr>
        <w:pStyle w:val="13"/>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5.1投标人一旦参加本项目采购活动，即被认为接受了本招标文件的规定和约束。</w:t>
      </w:r>
    </w:p>
    <w:p w14:paraId="5F3B613D">
      <w:pPr>
        <w:pStyle w:val="13"/>
        <w:keepNext/>
        <w:keepLines/>
        <w:pageBreakBefore w:val="0"/>
        <w:kinsoku/>
        <w:wordWrap/>
        <w:overflowPunct/>
        <w:topLinePunct w:val="0"/>
        <w:autoSpaceDE/>
        <w:autoSpaceDN/>
        <w:bidi w:val="0"/>
        <w:adjustRightInd/>
        <w:snapToGrid/>
        <w:spacing w:beforeAutospacing="0" w:afterAutospacing="0" w:line="360" w:lineRule="auto"/>
        <w:ind w:firstLine="321"/>
        <w:jc w:val="both"/>
        <w:rPr>
          <w:rFonts w:hint="eastAsia" w:ascii="宋体" w:hAnsi="宋体" w:eastAsia="宋体" w:cs="宋体"/>
          <w:sz w:val="21"/>
          <w:szCs w:val="21"/>
          <w:highlight w:val="none"/>
        </w:rPr>
      </w:pPr>
      <w:bookmarkStart w:id="56" w:name="_Toc16938525"/>
      <w:bookmarkEnd w:id="56"/>
      <w:bookmarkStart w:id="57" w:name="_Toc20823281"/>
      <w:bookmarkEnd w:id="57"/>
      <w:bookmarkStart w:id="58" w:name="_Toc120614215"/>
      <w:bookmarkEnd w:id="58"/>
      <w:bookmarkStart w:id="59" w:name="_Toc513029209"/>
      <w:bookmarkEnd w:id="59"/>
      <w:r>
        <w:rPr>
          <w:rFonts w:hint="eastAsia" w:ascii="宋体" w:hAnsi="宋体" w:eastAsia="宋体" w:cs="宋体"/>
          <w:b/>
          <w:color w:val="000000"/>
          <w:sz w:val="21"/>
          <w:szCs w:val="21"/>
          <w:highlight w:val="none"/>
        </w:rPr>
        <w:t>二、招标文件</w:t>
      </w:r>
    </w:p>
    <w:p w14:paraId="0D1E6257">
      <w:pPr>
        <w:pStyle w:val="13"/>
        <w:keepNext/>
        <w:keepLines/>
        <w:pageBreakBefore w:val="0"/>
        <w:kinsoku/>
        <w:wordWrap/>
        <w:overflowPunct/>
        <w:topLinePunct w:val="0"/>
        <w:autoSpaceDE/>
        <w:autoSpaceDN/>
        <w:bidi w:val="0"/>
        <w:adjustRightInd/>
        <w:snapToGrid/>
        <w:spacing w:beforeAutospacing="0" w:afterAutospacing="0" w:line="360" w:lineRule="auto"/>
        <w:ind w:firstLine="420"/>
        <w:jc w:val="both"/>
        <w:rPr>
          <w:rFonts w:hint="eastAsia" w:ascii="宋体" w:hAnsi="宋体" w:eastAsia="宋体" w:cs="宋体"/>
          <w:sz w:val="21"/>
          <w:szCs w:val="21"/>
          <w:highlight w:val="none"/>
        </w:rPr>
      </w:pPr>
      <w:bookmarkStart w:id="60" w:name="_Toc16938526"/>
      <w:bookmarkEnd w:id="60"/>
      <w:bookmarkStart w:id="61" w:name="_Toc513029210"/>
      <w:bookmarkEnd w:id="61"/>
      <w:bookmarkStart w:id="62" w:name="_Toc20823282"/>
      <w:bookmarkEnd w:id="62"/>
      <w:r>
        <w:rPr>
          <w:rFonts w:hint="eastAsia" w:ascii="宋体" w:hAnsi="宋体" w:eastAsia="宋体" w:cs="宋体"/>
          <w:color w:val="000000"/>
          <w:sz w:val="21"/>
          <w:szCs w:val="21"/>
          <w:highlight w:val="none"/>
        </w:rPr>
        <w:t>6、招标文件构成</w:t>
      </w:r>
    </w:p>
    <w:p w14:paraId="1E7EA754">
      <w:pPr>
        <w:pStyle w:val="13"/>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6.1 招标文件由以下部分组成：</w:t>
      </w:r>
    </w:p>
    <w:p w14:paraId="43183600">
      <w:pPr>
        <w:pStyle w:val="13"/>
        <w:pageBreakBefore w:val="0"/>
        <w:kinsoku/>
        <w:wordWrap/>
        <w:overflowPunct/>
        <w:topLinePunct w:val="0"/>
        <w:autoSpaceDE/>
        <w:autoSpaceDN/>
        <w:bidi w:val="0"/>
        <w:adjustRightInd/>
        <w:snapToGrid/>
        <w:spacing w:beforeAutospacing="0" w:afterAutospacing="0" w:line="360" w:lineRule="auto"/>
        <w:ind w:firstLine="360"/>
        <w:jc w:val="both"/>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rPr>
        <w:t>（1）</w:t>
      </w:r>
      <w:r>
        <w:rPr>
          <w:rFonts w:hint="eastAsia" w:ascii="宋体" w:hAnsi="宋体" w:eastAsia="宋体" w:cs="宋体"/>
          <w:color w:val="000000"/>
          <w:sz w:val="21"/>
          <w:szCs w:val="21"/>
          <w:highlight w:val="none"/>
          <w:lang w:val="en-US" w:eastAsia="zh-CN"/>
        </w:rPr>
        <w:t>招标公告</w:t>
      </w:r>
    </w:p>
    <w:p w14:paraId="279BA839">
      <w:pPr>
        <w:pStyle w:val="13"/>
        <w:pageBreakBefore w:val="0"/>
        <w:kinsoku/>
        <w:wordWrap/>
        <w:overflowPunct/>
        <w:topLinePunct w:val="0"/>
        <w:autoSpaceDE/>
        <w:autoSpaceDN/>
        <w:bidi w:val="0"/>
        <w:adjustRightInd/>
        <w:snapToGrid/>
        <w:spacing w:beforeAutospacing="0" w:afterAutospacing="0" w:line="360" w:lineRule="auto"/>
        <w:ind w:firstLine="36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（2）投标人须知</w:t>
      </w:r>
    </w:p>
    <w:p w14:paraId="346492AF">
      <w:pPr>
        <w:pStyle w:val="13"/>
        <w:pageBreakBefore w:val="0"/>
        <w:kinsoku/>
        <w:wordWrap/>
        <w:overflowPunct/>
        <w:topLinePunct w:val="0"/>
        <w:autoSpaceDE/>
        <w:autoSpaceDN/>
        <w:bidi w:val="0"/>
        <w:adjustRightInd/>
        <w:snapToGrid/>
        <w:spacing w:beforeAutospacing="0" w:afterAutospacing="0" w:line="360" w:lineRule="auto"/>
        <w:ind w:firstLine="36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（3）合同文本</w:t>
      </w:r>
    </w:p>
    <w:p w14:paraId="426BFBAA">
      <w:pPr>
        <w:pStyle w:val="13"/>
        <w:pageBreakBefore w:val="0"/>
        <w:kinsoku/>
        <w:wordWrap/>
        <w:overflowPunct/>
        <w:topLinePunct w:val="0"/>
        <w:autoSpaceDE/>
        <w:autoSpaceDN/>
        <w:bidi w:val="0"/>
        <w:adjustRightInd/>
        <w:snapToGrid/>
        <w:spacing w:beforeAutospacing="0" w:afterAutospacing="0" w:line="360" w:lineRule="auto"/>
        <w:ind w:firstLine="36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（4）采购需求</w:t>
      </w:r>
    </w:p>
    <w:p w14:paraId="32DEB8C6">
      <w:pPr>
        <w:pStyle w:val="13"/>
        <w:pageBreakBefore w:val="0"/>
        <w:kinsoku/>
        <w:wordWrap/>
        <w:overflowPunct/>
        <w:topLinePunct w:val="0"/>
        <w:autoSpaceDE/>
        <w:autoSpaceDN/>
        <w:bidi w:val="0"/>
        <w:adjustRightInd/>
        <w:snapToGrid/>
        <w:spacing w:beforeAutospacing="0" w:afterAutospacing="0" w:line="360" w:lineRule="auto"/>
        <w:ind w:firstLine="36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（5）评标方法与评标标准</w:t>
      </w:r>
    </w:p>
    <w:p w14:paraId="5862ABCA">
      <w:pPr>
        <w:pStyle w:val="13"/>
        <w:pageBreakBefore w:val="0"/>
        <w:kinsoku/>
        <w:wordWrap/>
        <w:overflowPunct/>
        <w:topLinePunct w:val="0"/>
        <w:autoSpaceDE/>
        <w:autoSpaceDN/>
        <w:bidi w:val="0"/>
        <w:adjustRightInd/>
        <w:snapToGrid/>
        <w:spacing w:beforeAutospacing="0" w:afterAutospacing="0" w:line="360" w:lineRule="auto"/>
        <w:ind w:firstLine="36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（6）投标文件格式</w:t>
      </w:r>
    </w:p>
    <w:p w14:paraId="2386D4D4">
      <w:pPr>
        <w:pStyle w:val="13"/>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请仔细检查招标文件是否齐全，如有缺漏请立即与采购</w:t>
      </w:r>
      <w:r>
        <w:rPr>
          <w:rFonts w:hint="eastAsia" w:ascii="宋体" w:hAnsi="宋体" w:eastAsia="宋体" w:cs="宋体"/>
          <w:color w:val="000000"/>
          <w:sz w:val="21"/>
          <w:szCs w:val="21"/>
          <w:highlight w:val="none"/>
          <w:lang w:eastAsia="zh-CN"/>
        </w:rPr>
        <w:t>代理机构</w:t>
      </w:r>
      <w:r>
        <w:rPr>
          <w:rFonts w:hint="eastAsia" w:ascii="宋体" w:hAnsi="宋体" w:eastAsia="宋体" w:cs="宋体"/>
          <w:color w:val="000000"/>
          <w:sz w:val="21"/>
          <w:szCs w:val="21"/>
          <w:highlight w:val="none"/>
        </w:rPr>
        <w:t>联系解决。</w:t>
      </w:r>
    </w:p>
    <w:p w14:paraId="5E9AF0D9">
      <w:pPr>
        <w:pStyle w:val="13"/>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49A04B6D">
      <w:pPr>
        <w:pStyle w:val="13"/>
        <w:keepNext/>
        <w:keepLines/>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sz w:val="21"/>
          <w:szCs w:val="21"/>
          <w:highlight w:val="none"/>
        </w:rPr>
      </w:pPr>
      <w:bookmarkStart w:id="63" w:name="_Toc20823283"/>
      <w:bookmarkEnd w:id="63"/>
      <w:bookmarkStart w:id="64" w:name="_Toc513029211"/>
      <w:bookmarkEnd w:id="64"/>
      <w:bookmarkStart w:id="65" w:name="_Toc16938527"/>
      <w:bookmarkEnd w:id="65"/>
      <w:bookmarkStart w:id="66" w:name="_Toc462564070"/>
      <w:bookmarkEnd w:id="66"/>
      <w:r>
        <w:rPr>
          <w:rFonts w:hint="eastAsia" w:ascii="宋体" w:hAnsi="宋体" w:eastAsia="宋体" w:cs="宋体"/>
          <w:color w:val="000000"/>
          <w:sz w:val="21"/>
          <w:szCs w:val="21"/>
          <w:highlight w:val="none"/>
        </w:rPr>
        <w:t>7、招标文件的澄清</w:t>
      </w:r>
    </w:p>
    <w:p w14:paraId="7BF047E4">
      <w:pPr>
        <w:pStyle w:val="13"/>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7.1任何要求对招标文件进行澄清的投标人，应在投标截止期</w:t>
      </w:r>
      <w:r>
        <w:rPr>
          <w:rFonts w:hint="eastAsia" w:ascii="宋体" w:hAnsi="宋体" w:eastAsia="宋体" w:cs="宋体"/>
          <w:b/>
          <w:color w:val="000000"/>
          <w:sz w:val="21"/>
          <w:szCs w:val="21"/>
          <w:highlight w:val="none"/>
        </w:rPr>
        <w:t>十日</w:t>
      </w:r>
      <w:r>
        <w:rPr>
          <w:rFonts w:hint="eastAsia" w:ascii="宋体" w:hAnsi="宋体" w:eastAsia="宋体" w:cs="宋体"/>
          <w:color w:val="000000"/>
          <w:sz w:val="21"/>
          <w:szCs w:val="21"/>
          <w:highlight w:val="none"/>
        </w:rPr>
        <w:t>前按招标公告中的通讯地址，以书面形式通知采购</w:t>
      </w:r>
      <w:r>
        <w:rPr>
          <w:rFonts w:hint="eastAsia" w:ascii="宋体" w:hAnsi="宋体" w:eastAsia="宋体" w:cs="宋体"/>
          <w:color w:val="000000"/>
          <w:sz w:val="21"/>
          <w:szCs w:val="21"/>
          <w:highlight w:val="none"/>
          <w:lang w:eastAsia="zh-CN"/>
        </w:rPr>
        <w:t>人</w:t>
      </w:r>
      <w:r>
        <w:rPr>
          <w:rFonts w:hint="eastAsia" w:ascii="宋体" w:hAnsi="宋体" w:eastAsia="宋体" w:cs="宋体"/>
          <w:color w:val="000000"/>
          <w:sz w:val="21"/>
          <w:szCs w:val="21"/>
          <w:highlight w:val="none"/>
        </w:rPr>
        <w:t>。</w:t>
      </w:r>
    </w:p>
    <w:p w14:paraId="1A4996D9">
      <w:pPr>
        <w:pStyle w:val="13"/>
        <w:keepNext/>
        <w:keepLines/>
        <w:pageBreakBefore w:val="0"/>
        <w:numPr>
          <w:ilvl w:val="0"/>
          <w:numId w:val="1"/>
        </w:numPr>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sz w:val="21"/>
          <w:szCs w:val="21"/>
          <w:highlight w:val="none"/>
        </w:rPr>
      </w:pPr>
      <w:bookmarkStart w:id="67" w:name="_Toc513029212"/>
      <w:bookmarkEnd w:id="67"/>
      <w:bookmarkStart w:id="68" w:name="_Toc462564071"/>
      <w:bookmarkEnd w:id="68"/>
      <w:bookmarkStart w:id="69" w:name="_Toc16938528"/>
      <w:bookmarkEnd w:id="69"/>
      <w:bookmarkStart w:id="70" w:name="_Toc20823284"/>
      <w:bookmarkEnd w:id="70"/>
      <w:r>
        <w:rPr>
          <w:rFonts w:hint="eastAsia" w:ascii="宋体" w:hAnsi="宋体" w:eastAsia="宋体" w:cs="宋体"/>
          <w:color w:val="000000"/>
          <w:sz w:val="21"/>
          <w:szCs w:val="21"/>
          <w:highlight w:val="none"/>
        </w:rPr>
        <w:t>招标文件的修改</w:t>
      </w:r>
      <w:r>
        <w:rPr>
          <w:rFonts w:hint="eastAsia" w:ascii="宋体" w:hAnsi="宋体" w:eastAsia="宋体" w:cs="宋体"/>
          <w:color w:val="000000"/>
          <w:sz w:val="21"/>
          <w:szCs w:val="21"/>
          <w:highlight w:val="none"/>
          <w:lang w:val="en-US" w:eastAsia="zh-CN"/>
        </w:rPr>
        <w:t xml:space="preserve"> </w:t>
      </w:r>
    </w:p>
    <w:p w14:paraId="014A4234">
      <w:pPr>
        <w:pStyle w:val="13"/>
        <w:keepNext/>
        <w:keepLines/>
        <w:pageBreakBefore w:val="0"/>
        <w:numPr>
          <w:ilvl w:val="0"/>
          <w:numId w:val="0"/>
        </w:numPr>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8.1在投标截止时间前，采购</w:t>
      </w:r>
      <w:r>
        <w:rPr>
          <w:rFonts w:hint="eastAsia" w:ascii="宋体" w:hAnsi="宋体" w:eastAsia="宋体" w:cs="宋体"/>
          <w:color w:val="000000"/>
          <w:sz w:val="21"/>
          <w:szCs w:val="21"/>
          <w:highlight w:val="none"/>
          <w:lang w:eastAsia="zh-CN"/>
        </w:rPr>
        <w:t>人</w:t>
      </w:r>
      <w:r>
        <w:rPr>
          <w:rFonts w:hint="eastAsia" w:ascii="宋体" w:hAnsi="宋体" w:eastAsia="宋体" w:cs="宋体"/>
          <w:color w:val="000000"/>
          <w:sz w:val="21"/>
          <w:szCs w:val="21"/>
          <w:highlight w:val="none"/>
        </w:rPr>
        <w:t>可以对招标文件进行修改。</w:t>
      </w:r>
    </w:p>
    <w:p w14:paraId="4FDB3DBE">
      <w:pPr>
        <w:pStyle w:val="13"/>
        <w:keepNext/>
        <w:keepLines/>
        <w:pageBreakBefore w:val="0"/>
        <w:numPr>
          <w:ilvl w:val="0"/>
          <w:numId w:val="0"/>
        </w:numPr>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8.2采购</w:t>
      </w:r>
      <w:r>
        <w:rPr>
          <w:rFonts w:hint="eastAsia" w:ascii="宋体" w:hAnsi="宋体" w:eastAsia="宋体" w:cs="宋体"/>
          <w:color w:val="000000"/>
          <w:sz w:val="21"/>
          <w:szCs w:val="21"/>
          <w:highlight w:val="none"/>
          <w:lang w:eastAsia="zh-CN"/>
        </w:rPr>
        <w:t>人</w:t>
      </w:r>
      <w:r>
        <w:rPr>
          <w:rFonts w:hint="eastAsia" w:ascii="宋体" w:hAnsi="宋体" w:eastAsia="宋体" w:cs="宋体"/>
          <w:color w:val="000000"/>
          <w:sz w:val="21"/>
          <w:szCs w:val="21"/>
          <w:highlight w:val="none"/>
        </w:rPr>
        <w:t>有权按照法定的要求推迟投标截止日期和开标日期。</w:t>
      </w:r>
    </w:p>
    <w:p w14:paraId="70358279">
      <w:pPr>
        <w:pStyle w:val="13"/>
        <w:keepNext/>
        <w:keepLines/>
        <w:pageBreakBefore w:val="0"/>
        <w:numPr>
          <w:ilvl w:val="0"/>
          <w:numId w:val="0"/>
        </w:numPr>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8.3招标文件的修改将在</w:t>
      </w:r>
      <w:r>
        <w:rPr>
          <w:rFonts w:hint="eastAsia" w:ascii="宋体" w:hAnsi="宋体" w:eastAsia="宋体" w:cs="宋体"/>
          <w:color w:val="000000"/>
          <w:kern w:val="0"/>
          <w:sz w:val="21"/>
          <w:szCs w:val="21"/>
          <w:highlight w:val="none"/>
          <w:lang w:val="en-US" w:eastAsia="zh-CN" w:bidi="ar-SA"/>
        </w:rPr>
        <w:t>中国政府采购网</w:t>
      </w:r>
      <w:r>
        <w:rPr>
          <w:rFonts w:hint="eastAsia" w:ascii="宋体" w:hAnsi="宋体" w:eastAsia="宋体" w:cs="宋体"/>
          <w:i w:val="0"/>
          <w:iCs w:val="0"/>
          <w:color w:val="333333"/>
          <w:spacing w:val="0"/>
          <w:sz w:val="21"/>
          <w:szCs w:val="21"/>
          <w:highlight w:val="none"/>
          <w:shd w:val="clear" w:fill="FFFFFF"/>
          <w:lang w:val="en-US" w:eastAsia="zh-CN"/>
        </w:rPr>
        <w:t>、</w:t>
      </w:r>
      <w:r>
        <w:rPr>
          <w:rFonts w:hint="eastAsia" w:ascii="宋体" w:hAnsi="宋体" w:eastAsia="宋体" w:cs="宋体"/>
          <w:color w:val="000000"/>
          <w:sz w:val="21"/>
          <w:szCs w:val="21"/>
          <w:highlight w:val="none"/>
        </w:rPr>
        <w:t>江苏政府采购网</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盐城市政府采购网公布，补充文件将作为招标文件的组成部分，并对投标人具有约束力。</w:t>
      </w:r>
    </w:p>
    <w:p w14:paraId="3627C689">
      <w:pPr>
        <w:pStyle w:val="13"/>
        <w:keepNext/>
        <w:keepLines/>
        <w:pageBreakBefore w:val="0"/>
        <w:kinsoku/>
        <w:wordWrap/>
        <w:overflowPunct/>
        <w:topLinePunct w:val="0"/>
        <w:autoSpaceDE/>
        <w:autoSpaceDN/>
        <w:bidi w:val="0"/>
        <w:adjustRightInd/>
        <w:snapToGrid/>
        <w:spacing w:beforeAutospacing="0" w:afterAutospacing="0" w:line="360" w:lineRule="auto"/>
        <w:ind w:firstLine="482"/>
        <w:jc w:val="both"/>
        <w:rPr>
          <w:rFonts w:hint="eastAsia" w:ascii="宋体" w:hAnsi="宋体" w:eastAsia="宋体" w:cs="宋体"/>
          <w:sz w:val="21"/>
          <w:szCs w:val="21"/>
          <w:highlight w:val="none"/>
        </w:rPr>
      </w:pPr>
      <w:bookmarkStart w:id="71" w:name="_Toc462564072"/>
      <w:bookmarkEnd w:id="71"/>
      <w:bookmarkStart w:id="72" w:name="_Toc120614216"/>
      <w:bookmarkEnd w:id="72"/>
      <w:bookmarkStart w:id="73" w:name="_Toc16938529"/>
      <w:bookmarkEnd w:id="73"/>
      <w:bookmarkStart w:id="74" w:name="_Toc20823285"/>
      <w:bookmarkEnd w:id="74"/>
      <w:bookmarkStart w:id="75" w:name="_Toc513029213"/>
      <w:bookmarkEnd w:id="75"/>
      <w:r>
        <w:rPr>
          <w:rFonts w:hint="eastAsia" w:ascii="宋体" w:hAnsi="宋体" w:eastAsia="宋体" w:cs="宋体"/>
          <w:b/>
          <w:color w:val="000000"/>
          <w:sz w:val="21"/>
          <w:szCs w:val="21"/>
          <w:highlight w:val="none"/>
        </w:rPr>
        <w:t>三、投标文件的编制</w:t>
      </w:r>
    </w:p>
    <w:p w14:paraId="6B9ACCAA">
      <w:pPr>
        <w:pStyle w:val="13"/>
        <w:keepNext/>
        <w:keepLines/>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000000"/>
          <w:sz w:val="21"/>
          <w:szCs w:val="21"/>
          <w:highlight w:val="none"/>
        </w:rPr>
      </w:pPr>
      <w:bookmarkStart w:id="76" w:name="_Toc20823286"/>
      <w:bookmarkEnd w:id="76"/>
      <w:bookmarkStart w:id="77" w:name="_Toc462564073"/>
      <w:bookmarkEnd w:id="77"/>
      <w:bookmarkStart w:id="78" w:name="_Toc513029214"/>
      <w:bookmarkEnd w:id="78"/>
      <w:bookmarkStart w:id="79" w:name="_Toc16938530"/>
      <w:bookmarkEnd w:id="79"/>
      <w:r>
        <w:rPr>
          <w:rFonts w:hint="eastAsia" w:ascii="宋体" w:hAnsi="宋体" w:eastAsia="宋体" w:cs="宋体"/>
          <w:color w:val="000000"/>
          <w:sz w:val="21"/>
          <w:szCs w:val="21"/>
          <w:highlight w:val="none"/>
        </w:rPr>
        <w:t>9、投标文件的语言及度量衡单位</w:t>
      </w:r>
    </w:p>
    <w:p w14:paraId="6189C5BC">
      <w:pPr>
        <w:pStyle w:val="13"/>
        <w:keepNext/>
        <w:keepLines/>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9.1投标人提交的投标文件以及投标人与采购</w:t>
      </w:r>
      <w:r>
        <w:rPr>
          <w:rFonts w:hint="eastAsia" w:ascii="宋体" w:hAnsi="宋体" w:eastAsia="宋体" w:cs="宋体"/>
          <w:color w:val="000000"/>
          <w:sz w:val="21"/>
          <w:szCs w:val="21"/>
          <w:highlight w:val="none"/>
          <w:lang w:eastAsia="zh-CN"/>
        </w:rPr>
        <w:t>人</w:t>
      </w:r>
      <w:r>
        <w:rPr>
          <w:rFonts w:hint="eastAsia" w:ascii="宋体" w:hAnsi="宋体" w:eastAsia="宋体" w:cs="宋体"/>
          <w:color w:val="000000"/>
          <w:sz w:val="21"/>
          <w:szCs w:val="21"/>
          <w:highlight w:val="none"/>
        </w:rPr>
        <w:t>就有关投标的所有来往通知、函件和文件均应使用</w:t>
      </w:r>
      <w:r>
        <w:rPr>
          <w:rFonts w:hint="eastAsia" w:ascii="宋体" w:hAnsi="宋体" w:eastAsia="宋体" w:cs="宋体"/>
          <w:b/>
          <w:color w:val="000000"/>
          <w:sz w:val="21"/>
          <w:szCs w:val="21"/>
          <w:highlight w:val="none"/>
        </w:rPr>
        <w:t>简体中文</w:t>
      </w:r>
      <w:r>
        <w:rPr>
          <w:rFonts w:hint="eastAsia" w:ascii="宋体" w:hAnsi="宋体" w:eastAsia="宋体" w:cs="宋体"/>
          <w:color w:val="000000"/>
          <w:sz w:val="21"/>
          <w:szCs w:val="21"/>
          <w:highlight w:val="none"/>
        </w:rPr>
        <w:t>。</w:t>
      </w:r>
    </w:p>
    <w:p w14:paraId="008D1676">
      <w:pPr>
        <w:pStyle w:val="13"/>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9.2除技术性能另有规定外，投标文件所使用的度量衡单位，均须采用国家法定计量单位。</w:t>
      </w:r>
    </w:p>
    <w:p w14:paraId="7149CE7D">
      <w:pPr>
        <w:pStyle w:val="13"/>
        <w:keepNext/>
        <w:keepLines/>
        <w:pageBreakBefore w:val="0"/>
        <w:kinsoku/>
        <w:wordWrap/>
        <w:overflowPunct/>
        <w:topLinePunct w:val="0"/>
        <w:autoSpaceDE/>
        <w:autoSpaceDN/>
        <w:bidi w:val="0"/>
        <w:adjustRightInd/>
        <w:snapToGrid/>
        <w:spacing w:beforeAutospacing="0" w:afterAutospacing="0" w:line="360" w:lineRule="auto"/>
        <w:ind w:firstLine="420"/>
        <w:jc w:val="both"/>
        <w:rPr>
          <w:rFonts w:hint="eastAsia" w:ascii="宋体" w:hAnsi="宋体" w:eastAsia="宋体" w:cs="宋体"/>
          <w:sz w:val="21"/>
          <w:szCs w:val="21"/>
          <w:highlight w:val="none"/>
        </w:rPr>
      </w:pPr>
      <w:bookmarkStart w:id="80" w:name="_Toc462564074"/>
      <w:bookmarkEnd w:id="80"/>
      <w:bookmarkStart w:id="81" w:name="_Toc513029215"/>
      <w:bookmarkEnd w:id="81"/>
      <w:bookmarkStart w:id="82" w:name="_Toc20823287"/>
      <w:bookmarkEnd w:id="82"/>
      <w:bookmarkStart w:id="83" w:name="_Toc16938531"/>
      <w:bookmarkEnd w:id="83"/>
      <w:r>
        <w:rPr>
          <w:rFonts w:hint="eastAsia" w:ascii="宋体" w:hAnsi="宋体" w:eastAsia="宋体" w:cs="宋体"/>
          <w:color w:val="000000"/>
          <w:sz w:val="21"/>
          <w:szCs w:val="21"/>
          <w:highlight w:val="none"/>
        </w:rPr>
        <w:t>10、投标文件构成</w:t>
      </w:r>
    </w:p>
    <w:p w14:paraId="39C1B111">
      <w:pPr>
        <w:pStyle w:val="13"/>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10.1投标人编写的投标文件应包括资格证明文件、符合性证明文件、技术要求响应及偏离表、商务要求响应及偏离表、其他证明文件、投标函、开标一览表等部分。</w:t>
      </w:r>
    </w:p>
    <w:p w14:paraId="583687D3">
      <w:pPr>
        <w:pStyle w:val="13"/>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10.2如标书制作工具中格式和内容与</w:t>
      </w:r>
      <w:r>
        <w:rPr>
          <w:rFonts w:hint="eastAsia" w:ascii="宋体" w:hAnsi="宋体" w:eastAsia="宋体" w:cs="宋体"/>
          <w:i w:val="0"/>
          <w:iCs w:val="0"/>
          <w:color w:val="333333"/>
          <w:spacing w:val="0"/>
          <w:sz w:val="21"/>
          <w:szCs w:val="21"/>
          <w:highlight w:val="none"/>
          <w:shd w:val="clear" w:fill="FFFFFF"/>
          <w:lang w:val="en-US" w:eastAsia="zh-CN"/>
        </w:rPr>
        <w:t>“</w:t>
      </w:r>
      <w:r>
        <w:rPr>
          <w:rFonts w:hint="eastAsia" w:ascii="宋体" w:hAnsi="宋体" w:eastAsia="宋体" w:cs="宋体"/>
          <w:color w:val="000000"/>
          <w:kern w:val="0"/>
          <w:sz w:val="21"/>
          <w:szCs w:val="21"/>
          <w:highlight w:val="none"/>
          <w:lang w:val="en-US" w:eastAsia="zh-CN" w:bidi="ar-SA"/>
        </w:rPr>
        <w:t>中国政府采购网</w:t>
      </w:r>
      <w:r>
        <w:rPr>
          <w:rFonts w:hint="eastAsia" w:ascii="宋体" w:hAnsi="宋体" w:eastAsia="宋体" w:cs="宋体"/>
          <w:i w:val="0"/>
          <w:iCs w:val="0"/>
          <w:color w:val="333333"/>
          <w:spacing w:val="0"/>
          <w:sz w:val="21"/>
          <w:szCs w:val="21"/>
          <w:highlight w:val="none"/>
          <w:shd w:val="clear" w:fill="FFFFFF"/>
          <w:lang w:val="en-US" w:eastAsia="zh-CN"/>
        </w:rPr>
        <w:t>”、</w:t>
      </w:r>
      <w:r>
        <w:rPr>
          <w:rFonts w:hint="eastAsia" w:ascii="宋体" w:hAnsi="宋体" w:eastAsia="宋体" w:cs="宋体"/>
          <w:color w:val="000000"/>
          <w:sz w:val="21"/>
          <w:szCs w:val="21"/>
          <w:highlight w:val="none"/>
        </w:rPr>
        <w:t>“江苏政府采购网”、“盐城市政府采购网”发布的招标文件不一致，请以</w:t>
      </w:r>
      <w:r>
        <w:rPr>
          <w:rFonts w:hint="eastAsia" w:ascii="宋体" w:hAnsi="宋体" w:eastAsia="宋体" w:cs="宋体"/>
          <w:i w:val="0"/>
          <w:iCs w:val="0"/>
          <w:color w:val="333333"/>
          <w:spacing w:val="0"/>
          <w:sz w:val="21"/>
          <w:szCs w:val="21"/>
          <w:highlight w:val="none"/>
          <w:shd w:val="clear" w:fill="FFFFFF"/>
          <w:lang w:val="en-US" w:eastAsia="zh-CN"/>
        </w:rPr>
        <w:t>“</w:t>
      </w:r>
      <w:r>
        <w:rPr>
          <w:rFonts w:hint="eastAsia" w:ascii="宋体" w:hAnsi="宋体" w:eastAsia="宋体" w:cs="宋体"/>
          <w:color w:val="000000"/>
          <w:kern w:val="0"/>
          <w:sz w:val="21"/>
          <w:szCs w:val="21"/>
          <w:highlight w:val="none"/>
          <w:lang w:val="en-US" w:eastAsia="zh-CN" w:bidi="ar-SA"/>
        </w:rPr>
        <w:t>中国政府采购网</w:t>
      </w:r>
      <w:r>
        <w:rPr>
          <w:rFonts w:hint="eastAsia" w:ascii="宋体" w:hAnsi="宋体" w:eastAsia="宋体" w:cs="宋体"/>
          <w:i w:val="0"/>
          <w:iCs w:val="0"/>
          <w:color w:val="333333"/>
          <w:spacing w:val="0"/>
          <w:sz w:val="21"/>
          <w:szCs w:val="21"/>
          <w:highlight w:val="none"/>
          <w:shd w:val="clear" w:fill="FFFFFF"/>
          <w:lang w:val="en-US" w:eastAsia="zh-CN"/>
        </w:rPr>
        <w:t>”、</w:t>
      </w:r>
      <w:r>
        <w:rPr>
          <w:rFonts w:hint="eastAsia" w:ascii="宋体" w:hAnsi="宋体" w:eastAsia="宋体" w:cs="宋体"/>
          <w:color w:val="000000"/>
          <w:sz w:val="21"/>
          <w:szCs w:val="21"/>
          <w:highlight w:val="none"/>
        </w:rPr>
        <w:t>“江苏政府采购网”、“盐城市政府采购网”发布的招标文件为准。</w:t>
      </w:r>
    </w:p>
    <w:p w14:paraId="2DAC820C">
      <w:pPr>
        <w:pStyle w:val="13"/>
        <w:keepNext/>
        <w:keepLines/>
        <w:pageBreakBefore w:val="0"/>
        <w:numPr>
          <w:ilvl w:val="0"/>
          <w:numId w:val="0"/>
        </w:numPr>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sz w:val="21"/>
          <w:szCs w:val="21"/>
          <w:highlight w:val="none"/>
        </w:rPr>
      </w:pPr>
      <w:bookmarkStart w:id="84" w:name="_Toc513029216"/>
      <w:bookmarkEnd w:id="84"/>
      <w:bookmarkStart w:id="85" w:name="_Toc14577354"/>
      <w:bookmarkEnd w:id="85"/>
      <w:bookmarkStart w:id="86" w:name="_Toc14577357"/>
      <w:bookmarkEnd w:id="86"/>
      <w:bookmarkStart w:id="87" w:name="_Toc513029219"/>
      <w:bookmarkEnd w:id="87"/>
      <w:bookmarkStart w:id="88" w:name="_Toc49090507"/>
      <w:bookmarkEnd w:id="88"/>
      <w:bookmarkStart w:id="89" w:name="_Toc49090509"/>
      <w:bookmarkEnd w:id="89"/>
      <w:bookmarkStart w:id="90" w:name="_Toc49090508"/>
      <w:bookmarkStart w:id="91" w:name="_Toc14577355"/>
      <w:r>
        <w:rPr>
          <w:rFonts w:hint="eastAsia" w:ascii="宋体" w:hAnsi="宋体" w:eastAsia="宋体" w:cs="宋体"/>
          <w:color w:val="000000"/>
          <w:sz w:val="21"/>
          <w:szCs w:val="21"/>
          <w:highlight w:val="none"/>
          <w:lang w:val="en-US" w:eastAsia="zh-CN"/>
        </w:rPr>
        <w:t>11、</w:t>
      </w:r>
      <w:r>
        <w:rPr>
          <w:rFonts w:hint="eastAsia" w:ascii="宋体" w:hAnsi="宋体" w:eastAsia="宋体" w:cs="宋体"/>
          <w:color w:val="000000"/>
          <w:sz w:val="21"/>
          <w:szCs w:val="21"/>
          <w:highlight w:val="none"/>
        </w:rPr>
        <w:t>证明投标人及投标标的符合招标文件规定的文件</w:t>
      </w:r>
    </w:p>
    <w:bookmarkEnd w:id="90"/>
    <w:bookmarkEnd w:id="91"/>
    <w:p w14:paraId="62CE8BD1">
      <w:pPr>
        <w:pStyle w:val="13"/>
        <w:keepNext/>
        <w:keepLines/>
        <w:pageBreakBefore w:val="0"/>
        <w:numPr>
          <w:ilvl w:val="0"/>
          <w:numId w:val="0"/>
        </w:numPr>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11.1投标人应按照法律、法规、规章和规范性文件以及招标文件要求提交证明文件，证明其及投标标的符合招标文件规定。</w:t>
      </w:r>
    </w:p>
    <w:p w14:paraId="13EDD508">
      <w:pPr>
        <w:pStyle w:val="13"/>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11.2招标文件对证明文件无明确形式要求的，证明文件可以以文字资料、图纸和数据等形式提交。</w:t>
      </w:r>
    </w:p>
    <w:p w14:paraId="64B7A580">
      <w:pPr>
        <w:pStyle w:val="13"/>
        <w:pageBreakBefore w:val="0"/>
        <w:numPr>
          <w:ilvl w:val="0"/>
          <w:numId w:val="0"/>
        </w:numPr>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12、</w:t>
      </w:r>
      <w:r>
        <w:rPr>
          <w:rFonts w:hint="eastAsia" w:ascii="宋体" w:hAnsi="宋体" w:eastAsia="宋体" w:cs="宋体"/>
          <w:color w:val="000000"/>
          <w:sz w:val="21"/>
          <w:szCs w:val="21"/>
          <w:highlight w:val="none"/>
        </w:rPr>
        <w:t>投标分项报价表</w:t>
      </w:r>
    </w:p>
    <w:p w14:paraId="6C5B458E">
      <w:pPr>
        <w:pStyle w:val="13"/>
        <w:pageBreakBefore w:val="0"/>
        <w:numPr>
          <w:ilvl w:val="0"/>
          <w:numId w:val="0"/>
        </w:numPr>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无</w:t>
      </w:r>
    </w:p>
    <w:p w14:paraId="582BBC84">
      <w:pPr>
        <w:pStyle w:val="13"/>
        <w:pageBreakBefore w:val="0"/>
        <w:numPr>
          <w:ilvl w:val="0"/>
          <w:numId w:val="0"/>
        </w:numPr>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13、</w:t>
      </w:r>
      <w:r>
        <w:rPr>
          <w:rFonts w:hint="eastAsia" w:ascii="宋体" w:hAnsi="宋体" w:eastAsia="宋体" w:cs="宋体"/>
          <w:color w:val="auto"/>
          <w:sz w:val="21"/>
          <w:szCs w:val="21"/>
          <w:highlight w:val="none"/>
        </w:rPr>
        <w:t>技术要求响应及偏离表、商务要求响应及偏离表</w:t>
      </w:r>
    </w:p>
    <w:p w14:paraId="70C571BD">
      <w:pPr>
        <w:pStyle w:val="13"/>
        <w:pageBreakBefore w:val="0"/>
        <w:numPr>
          <w:ilvl w:val="0"/>
          <w:numId w:val="0"/>
        </w:numPr>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13.1投标人需对招标文件中的技术要求与商务要求逐项作出响应或偏离，并说明原因。</w:t>
      </w:r>
    </w:p>
    <w:p w14:paraId="1E328247">
      <w:pPr>
        <w:pStyle w:val="13"/>
        <w:pageBreakBefore w:val="0"/>
        <w:tabs>
          <w:tab w:val="left" w:pos="1036"/>
        </w:tabs>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13.2投标人可在投标文件中提供认为需要的其他技术文件或说明。</w:t>
      </w:r>
    </w:p>
    <w:p w14:paraId="759BB907">
      <w:pPr>
        <w:pStyle w:val="13"/>
        <w:keepNext/>
        <w:keepLines/>
        <w:pageBreakBefore w:val="0"/>
        <w:kinsoku/>
        <w:wordWrap/>
        <w:overflowPunct/>
        <w:topLinePunct w:val="0"/>
        <w:autoSpaceDE/>
        <w:autoSpaceDN/>
        <w:bidi w:val="0"/>
        <w:adjustRightInd/>
        <w:snapToGrid/>
        <w:spacing w:beforeAutospacing="0" w:afterAutospacing="0" w:line="360" w:lineRule="auto"/>
        <w:ind w:firstLine="420"/>
        <w:jc w:val="both"/>
        <w:rPr>
          <w:rFonts w:hint="eastAsia" w:ascii="宋体" w:hAnsi="宋体" w:eastAsia="宋体" w:cs="宋体"/>
          <w:color w:val="auto"/>
          <w:sz w:val="21"/>
          <w:szCs w:val="21"/>
          <w:highlight w:val="none"/>
        </w:rPr>
      </w:pPr>
      <w:bookmarkStart w:id="92" w:name="_Toc14577359"/>
      <w:bookmarkEnd w:id="92"/>
      <w:bookmarkStart w:id="93" w:name="_Toc49090510"/>
      <w:bookmarkEnd w:id="93"/>
      <w:r>
        <w:rPr>
          <w:rFonts w:hint="eastAsia" w:ascii="宋体" w:hAnsi="宋体" w:eastAsia="宋体" w:cs="宋体"/>
          <w:color w:val="auto"/>
          <w:sz w:val="21"/>
          <w:szCs w:val="21"/>
          <w:highlight w:val="none"/>
        </w:rPr>
        <w:t>14、投标函和开标一览表</w:t>
      </w:r>
    </w:p>
    <w:p w14:paraId="3A820796">
      <w:pPr>
        <w:pStyle w:val="13"/>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14.1投标人应按照招标文件中提供的格式完整、正确填写投标函、开标一览表。</w:t>
      </w:r>
    </w:p>
    <w:p w14:paraId="46FA1A28">
      <w:pPr>
        <w:pStyle w:val="13"/>
        <w:keepNext/>
        <w:keepLines/>
        <w:pageBreakBefore w:val="0"/>
        <w:kinsoku/>
        <w:wordWrap/>
        <w:overflowPunct/>
        <w:topLinePunct w:val="0"/>
        <w:autoSpaceDE/>
        <w:autoSpaceDN/>
        <w:bidi w:val="0"/>
        <w:adjustRightInd/>
        <w:snapToGrid/>
        <w:spacing w:beforeAutospacing="0" w:afterAutospacing="0" w:line="360" w:lineRule="auto"/>
        <w:ind w:firstLine="420"/>
        <w:jc w:val="both"/>
        <w:rPr>
          <w:rFonts w:hint="eastAsia" w:ascii="宋体" w:hAnsi="宋体" w:eastAsia="宋体" w:cs="宋体"/>
          <w:sz w:val="21"/>
          <w:szCs w:val="21"/>
          <w:highlight w:val="none"/>
        </w:rPr>
      </w:pPr>
      <w:bookmarkStart w:id="94" w:name="_Toc49090511"/>
      <w:bookmarkEnd w:id="94"/>
      <w:bookmarkStart w:id="95" w:name="_Toc14577360"/>
      <w:bookmarkEnd w:id="95"/>
      <w:r>
        <w:rPr>
          <w:rFonts w:hint="eastAsia" w:ascii="宋体" w:hAnsi="宋体" w:eastAsia="宋体" w:cs="宋体"/>
          <w:color w:val="000000"/>
          <w:sz w:val="21"/>
          <w:szCs w:val="21"/>
          <w:highlight w:val="none"/>
        </w:rPr>
        <w:t>15、投标有效期</w:t>
      </w:r>
    </w:p>
    <w:p w14:paraId="036C44DD">
      <w:pPr>
        <w:pStyle w:val="13"/>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15.1投标有效期为采购</w:t>
      </w:r>
      <w:r>
        <w:rPr>
          <w:rFonts w:hint="eastAsia" w:ascii="宋体" w:hAnsi="宋体" w:eastAsia="宋体" w:cs="宋体"/>
          <w:color w:val="000000"/>
          <w:sz w:val="21"/>
          <w:szCs w:val="21"/>
          <w:highlight w:val="none"/>
          <w:lang w:eastAsia="zh-CN"/>
        </w:rPr>
        <w:t>人</w:t>
      </w:r>
      <w:r>
        <w:rPr>
          <w:rFonts w:hint="eastAsia" w:ascii="宋体" w:hAnsi="宋体" w:eastAsia="宋体" w:cs="宋体"/>
          <w:color w:val="000000"/>
          <w:sz w:val="21"/>
          <w:szCs w:val="21"/>
          <w:highlight w:val="none"/>
        </w:rPr>
        <w:t>规定的开标之日后</w:t>
      </w:r>
      <w:r>
        <w:rPr>
          <w:rFonts w:hint="eastAsia" w:ascii="宋体" w:hAnsi="宋体" w:eastAsia="宋体" w:cs="宋体"/>
          <w:b/>
          <w:color w:val="000000"/>
          <w:sz w:val="21"/>
          <w:szCs w:val="21"/>
          <w:highlight w:val="none"/>
          <w:u w:val="single"/>
          <w:lang w:eastAsia="zh-CN"/>
        </w:rPr>
        <w:t>四十五</w:t>
      </w:r>
      <w:r>
        <w:rPr>
          <w:rFonts w:hint="eastAsia" w:ascii="宋体" w:hAnsi="宋体" w:eastAsia="宋体" w:cs="宋体"/>
          <w:b/>
          <w:color w:val="000000"/>
          <w:sz w:val="21"/>
          <w:szCs w:val="21"/>
          <w:highlight w:val="none"/>
          <w:u w:val="single"/>
        </w:rPr>
        <w:t>（</w:t>
      </w:r>
      <w:r>
        <w:rPr>
          <w:rFonts w:hint="eastAsia" w:ascii="宋体" w:hAnsi="宋体" w:eastAsia="宋体" w:cs="宋体"/>
          <w:b/>
          <w:color w:val="000000"/>
          <w:sz w:val="21"/>
          <w:szCs w:val="21"/>
          <w:highlight w:val="none"/>
          <w:u w:val="single"/>
          <w:lang w:val="en-US" w:eastAsia="zh-CN"/>
        </w:rPr>
        <w:t>45</w:t>
      </w:r>
      <w:r>
        <w:rPr>
          <w:rFonts w:hint="eastAsia" w:ascii="宋体" w:hAnsi="宋体" w:eastAsia="宋体" w:cs="宋体"/>
          <w:b/>
          <w:color w:val="000000"/>
          <w:sz w:val="21"/>
          <w:szCs w:val="21"/>
          <w:highlight w:val="none"/>
          <w:u w:val="single"/>
        </w:rPr>
        <w:t>）天</w:t>
      </w:r>
      <w:r>
        <w:rPr>
          <w:rFonts w:hint="eastAsia" w:ascii="宋体" w:hAnsi="宋体" w:eastAsia="宋体" w:cs="宋体"/>
          <w:color w:val="000000"/>
          <w:sz w:val="21"/>
          <w:szCs w:val="21"/>
          <w:highlight w:val="none"/>
        </w:rPr>
        <w:t>。投标有效期比规定短的将被视为未实质性响应招标文件而予以拒绝。</w:t>
      </w:r>
    </w:p>
    <w:p w14:paraId="5DE42FF7">
      <w:pPr>
        <w:pStyle w:val="13"/>
        <w:keepNext/>
        <w:keepLines/>
        <w:pageBreakBefore w:val="0"/>
        <w:kinsoku/>
        <w:wordWrap/>
        <w:overflowPunct/>
        <w:topLinePunct w:val="0"/>
        <w:autoSpaceDE/>
        <w:autoSpaceDN/>
        <w:bidi w:val="0"/>
        <w:adjustRightInd/>
        <w:snapToGrid/>
        <w:spacing w:beforeAutospacing="0" w:afterAutospacing="0" w:line="360" w:lineRule="auto"/>
        <w:ind w:firstLine="42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16、投标有效期的延长</w:t>
      </w:r>
    </w:p>
    <w:p w14:paraId="162F4E88">
      <w:pPr>
        <w:pStyle w:val="13"/>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16.1在特殊情况下，采购人于原投标有效期满之前，可向投标人提出延长投标有效期的要求。这种要求与答复均应采用书面形式。投标人可以拒绝采购</w:t>
      </w:r>
      <w:r>
        <w:rPr>
          <w:rFonts w:hint="eastAsia" w:ascii="宋体" w:hAnsi="宋体" w:eastAsia="宋体" w:cs="宋体"/>
          <w:color w:val="000000"/>
          <w:sz w:val="21"/>
          <w:szCs w:val="21"/>
          <w:highlight w:val="none"/>
          <w:lang w:eastAsia="zh-CN"/>
        </w:rPr>
        <w:t>人</w:t>
      </w:r>
      <w:r>
        <w:rPr>
          <w:rFonts w:hint="eastAsia" w:ascii="宋体" w:hAnsi="宋体" w:eastAsia="宋体" w:cs="宋体"/>
          <w:color w:val="000000"/>
          <w:sz w:val="21"/>
          <w:szCs w:val="21"/>
          <w:highlight w:val="none"/>
        </w:rPr>
        <w:t>的这一要求而放弃投标。同意延长投标有效期的投标人既不能要求也不允许修改其投标文件，同时受投标有效期约束的所有权利与义务均延长至新的有效期。</w:t>
      </w:r>
    </w:p>
    <w:p w14:paraId="7FC35DB0">
      <w:pPr>
        <w:pStyle w:val="13"/>
        <w:keepNext/>
        <w:keepLines/>
        <w:pageBreakBefore w:val="0"/>
        <w:kinsoku/>
        <w:wordWrap/>
        <w:overflowPunct/>
        <w:topLinePunct w:val="0"/>
        <w:autoSpaceDE/>
        <w:autoSpaceDN/>
        <w:bidi w:val="0"/>
        <w:adjustRightInd/>
        <w:snapToGrid/>
        <w:spacing w:beforeAutospacing="0" w:afterAutospacing="0" w:line="360" w:lineRule="auto"/>
        <w:ind w:firstLine="422" w:firstLineChars="200"/>
        <w:jc w:val="both"/>
        <w:rPr>
          <w:rFonts w:hint="eastAsia" w:ascii="宋体" w:hAnsi="宋体" w:eastAsia="宋体" w:cs="宋体"/>
          <w:sz w:val="21"/>
          <w:szCs w:val="21"/>
          <w:highlight w:val="none"/>
        </w:rPr>
      </w:pPr>
      <w:bookmarkStart w:id="96" w:name="_Toc16938540"/>
      <w:bookmarkEnd w:id="96"/>
      <w:bookmarkStart w:id="97" w:name="_Toc513029224"/>
      <w:bookmarkEnd w:id="97"/>
      <w:bookmarkStart w:id="98" w:name="_Toc20823296"/>
      <w:bookmarkEnd w:id="98"/>
      <w:bookmarkStart w:id="99" w:name="_Toc120614217"/>
      <w:bookmarkEnd w:id="99"/>
      <w:r>
        <w:rPr>
          <w:rFonts w:hint="eastAsia" w:ascii="宋体" w:hAnsi="宋体" w:eastAsia="宋体" w:cs="宋体"/>
          <w:b/>
          <w:color w:val="000000"/>
          <w:sz w:val="21"/>
          <w:szCs w:val="21"/>
          <w:highlight w:val="none"/>
        </w:rPr>
        <w:t>四、投标文件的递交</w:t>
      </w:r>
    </w:p>
    <w:p w14:paraId="04BBC70C">
      <w:pPr>
        <w:pStyle w:val="13"/>
        <w:keepNext/>
        <w:keepLines/>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sz w:val="21"/>
          <w:szCs w:val="21"/>
          <w:highlight w:val="none"/>
        </w:rPr>
      </w:pPr>
      <w:bookmarkStart w:id="100" w:name="_Toc462564084"/>
      <w:bookmarkEnd w:id="100"/>
      <w:bookmarkStart w:id="101" w:name="_Toc513029225"/>
      <w:bookmarkEnd w:id="101"/>
      <w:bookmarkStart w:id="102" w:name="_Toc20823297"/>
      <w:bookmarkEnd w:id="102"/>
      <w:bookmarkStart w:id="103" w:name="_Toc16938541"/>
      <w:bookmarkEnd w:id="103"/>
      <w:r>
        <w:rPr>
          <w:rFonts w:hint="eastAsia" w:ascii="宋体" w:hAnsi="宋体" w:eastAsia="宋体" w:cs="宋体"/>
          <w:color w:val="000000"/>
          <w:sz w:val="21"/>
          <w:szCs w:val="21"/>
          <w:highlight w:val="none"/>
        </w:rPr>
        <w:t>17、投标文件的递交</w:t>
      </w:r>
    </w:p>
    <w:p w14:paraId="73EAF4B9">
      <w:pPr>
        <w:pStyle w:val="13"/>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17.1 电子投标文件的递交</w:t>
      </w:r>
    </w:p>
    <w:p w14:paraId="37FD7D6E">
      <w:pPr>
        <w:pStyle w:val="13"/>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sz w:val="21"/>
          <w:szCs w:val="21"/>
          <w:highlight w:val="none"/>
        </w:rPr>
      </w:pPr>
      <w:bookmarkStart w:id="104" w:name="_Toc20823298"/>
      <w:bookmarkEnd w:id="104"/>
      <w:bookmarkStart w:id="105" w:name="_Toc16938542"/>
      <w:bookmarkEnd w:id="105"/>
      <w:r>
        <w:rPr>
          <w:rFonts w:hint="eastAsia" w:ascii="宋体" w:hAnsi="宋体" w:eastAsia="宋体" w:cs="宋体"/>
          <w:color w:val="000000"/>
          <w:sz w:val="21"/>
          <w:szCs w:val="21"/>
          <w:highlight w:val="none"/>
        </w:rPr>
        <w:t>投标人应当按照《操作手册》规定，在投标截止时间前制作并上传电子投标文件。</w:t>
      </w:r>
    </w:p>
    <w:p w14:paraId="5CC7F92D">
      <w:pPr>
        <w:pStyle w:val="13"/>
        <w:keepNext/>
        <w:keepLines/>
        <w:pageBreakBefore w:val="0"/>
        <w:kinsoku/>
        <w:wordWrap/>
        <w:overflowPunct/>
        <w:topLinePunct w:val="0"/>
        <w:autoSpaceDE/>
        <w:autoSpaceDN/>
        <w:bidi w:val="0"/>
        <w:adjustRightInd/>
        <w:snapToGrid/>
        <w:spacing w:beforeAutospacing="0" w:afterAutospacing="0" w:line="360" w:lineRule="auto"/>
        <w:ind w:firstLine="42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18、投标截止时间</w:t>
      </w:r>
    </w:p>
    <w:p w14:paraId="70FF6430">
      <w:pPr>
        <w:pStyle w:val="13"/>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b w:val="0"/>
          <w:bCs w:val="0"/>
          <w:i w:val="0"/>
          <w:iCs/>
          <w:sz w:val="21"/>
          <w:szCs w:val="21"/>
          <w:highlight w:val="none"/>
        </w:rPr>
      </w:pPr>
      <w:r>
        <w:rPr>
          <w:rFonts w:hint="eastAsia" w:ascii="宋体" w:hAnsi="宋体" w:eastAsia="宋体" w:cs="宋体"/>
          <w:b w:val="0"/>
          <w:bCs w:val="0"/>
          <w:i w:val="0"/>
          <w:iCs/>
          <w:color w:val="000000"/>
          <w:sz w:val="21"/>
          <w:szCs w:val="21"/>
          <w:highlight w:val="none"/>
          <w:u w:val="single"/>
        </w:rPr>
        <w:t>18.1投标人上传电子投标文件的时间不得迟于招标公告中规定的投标截止时间。</w:t>
      </w:r>
    </w:p>
    <w:p w14:paraId="680BD611">
      <w:pPr>
        <w:pStyle w:val="13"/>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投标人应充分考虑到网络环境、网络宽带等风险因素，如因投标人自身原因造成的电子投标文件上传不成功的按照本招标文件第二章第26.1.2条 规定做无效投标处理。</w:t>
      </w:r>
    </w:p>
    <w:p w14:paraId="07855BBA">
      <w:pPr>
        <w:pStyle w:val="13"/>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18.2 采购人有权通过修改招标文件酌情延长投标截止日期，在此情况下，投标人的所有权利和义务以及投标人受制的截止日期均应以延长后新的截止日期为准。 </w:t>
      </w:r>
    </w:p>
    <w:p w14:paraId="7FB503FE">
      <w:pPr>
        <w:pStyle w:val="13"/>
        <w:keepNext/>
        <w:keepLines/>
        <w:pageBreakBefore w:val="0"/>
        <w:kinsoku/>
        <w:wordWrap/>
        <w:overflowPunct/>
        <w:topLinePunct w:val="0"/>
        <w:autoSpaceDE/>
        <w:autoSpaceDN/>
        <w:bidi w:val="0"/>
        <w:adjustRightInd/>
        <w:snapToGrid/>
        <w:spacing w:beforeAutospacing="0" w:afterAutospacing="0" w:line="360" w:lineRule="auto"/>
        <w:ind w:firstLine="420"/>
        <w:jc w:val="both"/>
        <w:rPr>
          <w:rFonts w:hint="eastAsia" w:ascii="宋体" w:hAnsi="宋体" w:eastAsia="宋体" w:cs="宋体"/>
          <w:sz w:val="21"/>
          <w:szCs w:val="21"/>
          <w:highlight w:val="none"/>
        </w:rPr>
      </w:pPr>
      <w:bookmarkStart w:id="106" w:name="_Toc16938543"/>
      <w:bookmarkEnd w:id="106"/>
      <w:bookmarkStart w:id="107" w:name="_Toc20823299"/>
      <w:bookmarkEnd w:id="107"/>
      <w:bookmarkStart w:id="108" w:name="_Toc513029227"/>
      <w:bookmarkEnd w:id="108"/>
      <w:r>
        <w:rPr>
          <w:rFonts w:hint="eastAsia" w:ascii="宋体" w:hAnsi="宋体" w:eastAsia="宋体" w:cs="宋体"/>
          <w:color w:val="000000"/>
          <w:sz w:val="21"/>
          <w:szCs w:val="21"/>
          <w:highlight w:val="none"/>
        </w:rPr>
        <w:t>19、投标文件的拒收</w:t>
      </w:r>
    </w:p>
    <w:p w14:paraId="6F2739B5">
      <w:pPr>
        <w:pStyle w:val="13"/>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19.1采购</w:t>
      </w:r>
      <w:r>
        <w:rPr>
          <w:rFonts w:hint="eastAsia" w:ascii="宋体" w:hAnsi="宋体" w:eastAsia="宋体" w:cs="宋体"/>
          <w:color w:val="000000"/>
          <w:sz w:val="21"/>
          <w:szCs w:val="21"/>
          <w:highlight w:val="none"/>
          <w:lang w:eastAsia="zh-CN"/>
        </w:rPr>
        <w:t>人</w:t>
      </w:r>
      <w:r>
        <w:rPr>
          <w:rFonts w:hint="eastAsia" w:ascii="宋体" w:hAnsi="宋体" w:eastAsia="宋体" w:cs="宋体"/>
          <w:color w:val="000000"/>
          <w:sz w:val="21"/>
          <w:szCs w:val="21"/>
          <w:highlight w:val="none"/>
        </w:rPr>
        <w:t>拒绝接收在其规定的投标截止时间后上传的任何投标文件。</w:t>
      </w:r>
    </w:p>
    <w:p w14:paraId="2249AD9B">
      <w:pPr>
        <w:pStyle w:val="13"/>
        <w:keepNext/>
        <w:keepLines/>
        <w:pageBreakBefore w:val="0"/>
        <w:kinsoku/>
        <w:wordWrap/>
        <w:overflowPunct/>
        <w:topLinePunct w:val="0"/>
        <w:autoSpaceDE/>
        <w:autoSpaceDN/>
        <w:bidi w:val="0"/>
        <w:adjustRightInd/>
        <w:snapToGrid/>
        <w:spacing w:beforeAutospacing="0" w:afterAutospacing="0" w:line="360" w:lineRule="auto"/>
        <w:ind w:firstLine="420"/>
        <w:jc w:val="both"/>
        <w:rPr>
          <w:rFonts w:hint="eastAsia" w:ascii="宋体" w:hAnsi="宋体" w:eastAsia="宋体" w:cs="宋体"/>
          <w:sz w:val="21"/>
          <w:szCs w:val="21"/>
          <w:highlight w:val="none"/>
        </w:rPr>
      </w:pPr>
      <w:bookmarkStart w:id="109" w:name="_Toc20823300"/>
      <w:bookmarkEnd w:id="109"/>
      <w:bookmarkStart w:id="110" w:name="_Toc16938544"/>
      <w:bookmarkEnd w:id="110"/>
      <w:bookmarkStart w:id="111" w:name="_Toc513029228"/>
      <w:bookmarkEnd w:id="111"/>
      <w:r>
        <w:rPr>
          <w:rFonts w:hint="eastAsia" w:ascii="宋体" w:hAnsi="宋体" w:eastAsia="宋体" w:cs="宋体"/>
          <w:color w:val="000000"/>
          <w:sz w:val="21"/>
          <w:szCs w:val="21"/>
          <w:highlight w:val="none"/>
        </w:rPr>
        <w:t>20、投标文件的撤回和修改</w:t>
      </w:r>
    </w:p>
    <w:p w14:paraId="4DFD5176">
      <w:pPr>
        <w:pStyle w:val="13"/>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20.1投标文件的撤回</w:t>
      </w:r>
    </w:p>
    <w:p w14:paraId="2F5106F4">
      <w:pPr>
        <w:pStyle w:val="13"/>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21.1.1电子投标文件的撤回</w:t>
      </w:r>
    </w:p>
    <w:p w14:paraId="703940F4">
      <w:pPr>
        <w:pStyle w:val="13"/>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投标人可在投标截止时间前，撤回其电子投标文件，具体操作方法见《操作手册》。</w:t>
      </w:r>
    </w:p>
    <w:p w14:paraId="45419CBC">
      <w:pPr>
        <w:pStyle w:val="13"/>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21.1.2投标人撤回电子投标文件，则认为其不再参与本项目投标活动。</w:t>
      </w:r>
    </w:p>
    <w:p w14:paraId="13F73242">
      <w:pPr>
        <w:pStyle w:val="13"/>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20.2 投标文件的修改</w:t>
      </w:r>
    </w:p>
    <w:p w14:paraId="02C3A983">
      <w:pPr>
        <w:pStyle w:val="13"/>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20.2.1投标人可在投标截止时间前，对其电子投标文件进行修改，具体操作方法见《操作手册》。</w:t>
      </w:r>
    </w:p>
    <w:p w14:paraId="59ADFA80">
      <w:pPr>
        <w:pStyle w:val="13"/>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20.2.2在投标截止时间之后，投标人不得对其电子投标文件作任何修改。</w:t>
      </w:r>
    </w:p>
    <w:p w14:paraId="704A2669">
      <w:pPr>
        <w:pStyle w:val="13"/>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20.3在投标截止时间至招标文件中规定的投标有效期满之间的这段时间内，投标人不得撤回其投标。</w:t>
      </w:r>
    </w:p>
    <w:p w14:paraId="5B4943D7">
      <w:pPr>
        <w:pStyle w:val="13"/>
        <w:keepNext/>
        <w:keepLines/>
        <w:pageBreakBefore w:val="0"/>
        <w:kinsoku/>
        <w:wordWrap/>
        <w:overflowPunct/>
        <w:topLinePunct w:val="0"/>
        <w:autoSpaceDE/>
        <w:autoSpaceDN/>
        <w:bidi w:val="0"/>
        <w:adjustRightInd/>
        <w:snapToGrid/>
        <w:spacing w:beforeAutospacing="0" w:afterAutospacing="0" w:line="360" w:lineRule="auto"/>
        <w:ind w:firstLine="422" w:firstLineChars="200"/>
        <w:jc w:val="both"/>
        <w:rPr>
          <w:rFonts w:hint="eastAsia" w:ascii="宋体" w:hAnsi="宋体" w:eastAsia="宋体" w:cs="宋体"/>
          <w:sz w:val="21"/>
          <w:szCs w:val="21"/>
          <w:highlight w:val="none"/>
        </w:rPr>
      </w:pPr>
      <w:bookmarkStart w:id="112" w:name="_Toc20823301"/>
      <w:bookmarkEnd w:id="112"/>
      <w:bookmarkStart w:id="113" w:name="_Toc513029229"/>
      <w:bookmarkEnd w:id="113"/>
      <w:bookmarkStart w:id="114" w:name="_Toc16938545"/>
      <w:bookmarkEnd w:id="114"/>
      <w:bookmarkStart w:id="115" w:name="_Toc120614218"/>
      <w:bookmarkEnd w:id="115"/>
      <w:r>
        <w:rPr>
          <w:rFonts w:hint="eastAsia" w:ascii="宋体" w:hAnsi="宋体" w:eastAsia="宋体" w:cs="宋体"/>
          <w:b/>
          <w:color w:val="000000"/>
          <w:sz w:val="21"/>
          <w:szCs w:val="21"/>
          <w:highlight w:val="none"/>
        </w:rPr>
        <w:t>五、开标与评标</w:t>
      </w:r>
    </w:p>
    <w:p w14:paraId="5255576D">
      <w:pPr>
        <w:pStyle w:val="13"/>
        <w:keepNext/>
        <w:keepLines/>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bookmarkStart w:id="116" w:name="_Toc513029230"/>
      <w:bookmarkEnd w:id="116"/>
      <w:bookmarkStart w:id="117" w:name="_Toc16938546"/>
      <w:bookmarkEnd w:id="117"/>
      <w:bookmarkStart w:id="118" w:name="_Toc20823302"/>
      <w:bookmarkEnd w:id="118"/>
      <w:r>
        <w:rPr>
          <w:rFonts w:hint="eastAsia" w:ascii="宋体" w:hAnsi="宋体" w:eastAsia="宋体" w:cs="宋体"/>
          <w:color w:val="auto"/>
          <w:sz w:val="21"/>
          <w:szCs w:val="21"/>
          <w:highlight w:val="none"/>
        </w:rPr>
        <w:t>21、开标</w:t>
      </w:r>
    </w:p>
    <w:p w14:paraId="10BC4896">
      <w:pPr>
        <w:pStyle w:val="13"/>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21.1采购</w:t>
      </w:r>
      <w:r>
        <w:rPr>
          <w:rFonts w:hint="eastAsia" w:ascii="宋体" w:hAnsi="宋体" w:eastAsia="宋体" w:cs="宋体"/>
          <w:color w:val="auto"/>
          <w:sz w:val="21"/>
          <w:szCs w:val="21"/>
          <w:highlight w:val="none"/>
          <w:lang w:eastAsia="zh-CN"/>
        </w:rPr>
        <w:t>人</w:t>
      </w:r>
      <w:r>
        <w:rPr>
          <w:rFonts w:hint="eastAsia" w:ascii="宋体" w:hAnsi="宋体" w:eastAsia="宋体" w:cs="宋体"/>
          <w:color w:val="auto"/>
          <w:sz w:val="21"/>
          <w:szCs w:val="21"/>
          <w:highlight w:val="none"/>
        </w:rPr>
        <w:t>将在招标公告中规定的时间和地点组织公开开标。投标人应当按照《操作手册》规定，参加开标活动和在苏采云系统规定的时间内对投标文件进行解密。</w:t>
      </w:r>
    </w:p>
    <w:p w14:paraId="7A72801F">
      <w:pPr>
        <w:pStyle w:val="13"/>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21.2开标仪式由采购</w:t>
      </w:r>
      <w:r>
        <w:rPr>
          <w:rFonts w:hint="eastAsia" w:ascii="宋体" w:hAnsi="宋体" w:eastAsia="宋体" w:cs="宋体"/>
          <w:color w:val="auto"/>
          <w:sz w:val="21"/>
          <w:szCs w:val="21"/>
          <w:highlight w:val="none"/>
          <w:lang w:eastAsia="zh-CN"/>
        </w:rPr>
        <w:t>人</w:t>
      </w:r>
      <w:r>
        <w:rPr>
          <w:rFonts w:hint="eastAsia" w:ascii="宋体" w:hAnsi="宋体" w:eastAsia="宋体" w:cs="宋体"/>
          <w:color w:val="auto"/>
          <w:sz w:val="21"/>
          <w:szCs w:val="21"/>
          <w:highlight w:val="none"/>
        </w:rPr>
        <w:t>组织。苏采云系统将自动对项目进行开标，并宣布各投标人名称和投标价格。</w:t>
      </w:r>
    </w:p>
    <w:p w14:paraId="5B86E818">
      <w:pPr>
        <w:pStyle w:val="13"/>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21.3投标人在开标过程中涉及到的投标文件解密、开标结果确认等工作，应按照《操作手册》规定执行。</w:t>
      </w:r>
    </w:p>
    <w:p w14:paraId="5D5B1FE3">
      <w:pPr>
        <w:pStyle w:val="13"/>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21.4投标人如果对开标过程和开标记录有疑义，应当根据《操作手册》规定提出，如苏采云系统中《开标记录表》宣布后5分钟内未提出的，视同认可开标结果。</w:t>
      </w:r>
    </w:p>
    <w:p w14:paraId="0BB953F8">
      <w:pPr>
        <w:pStyle w:val="13"/>
        <w:keepNext/>
        <w:keepLines/>
        <w:pageBreakBefore w:val="0"/>
        <w:kinsoku/>
        <w:wordWrap/>
        <w:overflowPunct/>
        <w:topLinePunct w:val="0"/>
        <w:autoSpaceDE/>
        <w:autoSpaceDN/>
        <w:bidi w:val="0"/>
        <w:adjustRightInd/>
        <w:snapToGrid/>
        <w:spacing w:beforeAutospacing="0" w:afterAutospacing="0" w:line="360" w:lineRule="auto"/>
        <w:ind w:firstLine="420"/>
        <w:jc w:val="both"/>
        <w:rPr>
          <w:rFonts w:hint="eastAsia" w:ascii="宋体" w:hAnsi="宋体" w:eastAsia="宋体" w:cs="宋体"/>
          <w:color w:val="auto"/>
          <w:sz w:val="21"/>
          <w:szCs w:val="21"/>
          <w:highlight w:val="none"/>
        </w:rPr>
      </w:pPr>
      <w:bookmarkStart w:id="119" w:name="_Toc16938547"/>
      <w:bookmarkEnd w:id="119"/>
      <w:bookmarkStart w:id="120" w:name="_Toc20823303"/>
      <w:bookmarkEnd w:id="120"/>
      <w:bookmarkStart w:id="121" w:name="_Toc513029231"/>
      <w:bookmarkEnd w:id="121"/>
      <w:r>
        <w:rPr>
          <w:rFonts w:hint="eastAsia" w:ascii="宋体" w:hAnsi="宋体" w:eastAsia="宋体" w:cs="宋体"/>
          <w:color w:val="auto"/>
          <w:sz w:val="21"/>
          <w:szCs w:val="21"/>
          <w:highlight w:val="none"/>
        </w:rPr>
        <w:t>22、评标委员会</w:t>
      </w:r>
    </w:p>
    <w:p w14:paraId="7914DE5D">
      <w:pPr>
        <w:pStyle w:val="13"/>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22.1开标后，采购</w:t>
      </w:r>
      <w:r>
        <w:rPr>
          <w:rFonts w:hint="eastAsia" w:ascii="宋体" w:hAnsi="宋体" w:eastAsia="宋体" w:cs="宋体"/>
          <w:color w:val="000000"/>
          <w:sz w:val="21"/>
          <w:szCs w:val="21"/>
          <w:highlight w:val="none"/>
          <w:lang w:eastAsia="zh-CN"/>
        </w:rPr>
        <w:t>人</w:t>
      </w:r>
      <w:r>
        <w:rPr>
          <w:rFonts w:hint="eastAsia" w:ascii="宋体" w:hAnsi="宋体" w:eastAsia="宋体" w:cs="宋体"/>
          <w:color w:val="000000"/>
          <w:sz w:val="21"/>
          <w:szCs w:val="21"/>
          <w:highlight w:val="none"/>
        </w:rPr>
        <w:t>将立即组织评标委员会（以下简称评委会）进行评标。</w:t>
      </w:r>
    </w:p>
    <w:p w14:paraId="20B97908">
      <w:pPr>
        <w:pStyle w:val="13"/>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22.2评委会由有关技术、经济等方面的专家组成，且人员构成符合政府采购有关规定。</w:t>
      </w:r>
    </w:p>
    <w:p w14:paraId="2507B30B">
      <w:pPr>
        <w:pStyle w:val="13"/>
        <w:pageBreakBefore w:val="0"/>
        <w:kinsoku/>
        <w:wordWrap/>
        <w:overflowPunct/>
        <w:topLinePunct w:val="0"/>
        <w:autoSpaceDE/>
        <w:autoSpaceDN/>
        <w:bidi w:val="0"/>
        <w:adjustRightInd/>
        <w:snapToGrid/>
        <w:spacing w:beforeAutospacing="0" w:afterAutospacing="0" w:line="360" w:lineRule="auto"/>
        <w:jc w:val="both"/>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w:t>
      </w:r>
      <w:r>
        <w:rPr>
          <w:rFonts w:hint="eastAsia" w:ascii="宋体" w:hAnsi="宋体" w:eastAsia="宋体" w:cs="宋体"/>
          <w:b/>
          <w:color w:val="auto"/>
          <w:sz w:val="21"/>
          <w:szCs w:val="21"/>
          <w:highlight w:val="none"/>
          <w:lang w:val="en-US" w:eastAsia="zh-CN"/>
        </w:rPr>
        <w:t xml:space="preserve">  </w:t>
      </w:r>
      <w:r>
        <w:rPr>
          <w:rFonts w:hint="eastAsia" w:ascii="宋体" w:hAnsi="宋体" w:eastAsia="宋体" w:cs="宋体"/>
          <w:color w:val="auto"/>
          <w:sz w:val="21"/>
          <w:szCs w:val="21"/>
          <w:highlight w:val="none"/>
        </w:rPr>
        <w:t>22.3评委会独立工作，负责评审所有投标文件并确定中标</w:t>
      </w:r>
      <w:r>
        <w:rPr>
          <w:rFonts w:hint="eastAsia" w:cs="宋体"/>
          <w:color w:val="auto"/>
          <w:sz w:val="21"/>
          <w:szCs w:val="21"/>
          <w:highlight w:val="none"/>
          <w:lang w:val="en-US" w:eastAsia="zh-CN"/>
        </w:rPr>
        <w:t>候</w:t>
      </w:r>
      <w:r>
        <w:rPr>
          <w:rFonts w:hint="eastAsia" w:ascii="宋体" w:hAnsi="宋体" w:eastAsia="宋体" w:cs="宋体"/>
          <w:color w:val="auto"/>
          <w:sz w:val="21"/>
          <w:szCs w:val="21"/>
          <w:highlight w:val="none"/>
        </w:rPr>
        <w:t>选人。</w:t>
      </w:r>
    </w:p>
    <w:p w14:paraId="50FB7525">
      <w:pPr>
        <w:pStyle w:val="13"/>
        <w:keepNext/>
        <w:keepLines/>
        <w:pageBreakBefore w:val="0"/>
        <w:kinsoku/>
        <w:wordWrap/>
        <w:overflowPunct/>
        <w:topLinePunct w:val="0"/>
        <w:autoSpaceDE/>
        <w:autoSpaceDN/>
        <w:bidi w:val="0"/>
        <w:adjustRightInd/>
        <w:snapToGrid/>
        <w:spacing w:beforeAutospacing="0" w:afterAutospacing="0"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23、评标过程的保密与公正</w:t>
      </w:r>
    </w:p>
    <w:p w14:paraId="20EC6868">
      <w:pPr>
        <w:pStyle w:val="13"/>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23.1凡是与审查、澄清、评价和比较投标的有关资料以及授标建议等，采购人、评委、采购</w:t>
      </w:r>
      <w:r>
        <w:rPr>
          <w:rFonts w:hint="eastAsia" w:ascii="宋体" w:hAnsi="宋体" w:eastAsia="宋体" w:cs="宋体"/>
          <w:color w:val="000000"/>
          <w:sz w:val="21"/>
          <w:szCs w:val="21"/>
          <w:highlight w:val="none"/>
          <w:lang w:eastAsia="zh-CN"/>
        </w:rPr>
        <w:t>代理机构</w:t>
      </w:r>
      <w:r>
        <w:rPr>
          <w:rFonts w:hint="eastAsia" w:ascii="宋体" w:hAnsi="宋体" w:eastAsia="宋体" w:cs="宋体"/>
          <w:color w:val="000000"/>
          <w:sz w:val="21"/>
          <w:szCs w:val="21"/>
          <w:highlight w:val="none"/>
        </w:rPr>
        <w:t>均不得向投标人或与评标无关的其他人员透露。</w:t>
      </w:r>
    </w:p>
    <w:p w14:paraId="08226F86">
      <w:pPr>
        <w:pStyle w:val="13"/>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23.2在评标过程中，投标人不得以任何行为影响评标过程，否则其投标文件将被作为无效投标文件。</w:t>
      </w:r>
    </w:p>
    <w:p w14:paraId="313281BF">
      <w:pPr>
        <w:pStyle w:val="13"/>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000000"/>
          <w:sz w:val="21"/>
          <w:szCs w:val="21"/>
          <w:highlight w:val="none"/>
        </w:rPr>
        <w:t>23.</w:t>
      </w:r>
      <w:r>
        <w:rPr>
          <w:rFonts w:hint="eastAsia" w:ascii="宋体" w:hAnsi="宋体" w:eastAsia="宋体" w:cs="宋体"/>
          <w:color w:val="auto"/>
          <w:sz w:val="21"/>
          <w:szCs w:val="21"/>
          <w:highlight w:val="none"/>
        </w:rPr>
        <w:t>3采购</w:t>
      </w:r>
      <w:r>
        <w:rPr>
          <w:rFonts w:hint="eastAsia" w:ascii="宋体" w:hAnsi="宋体" w:eastAsia="宋体" w:cs="宋体"/>
          <w:color w:val="auto"/>
          <w:sz w:val="21"/>
          <w:szCs w:val="21"/>
          <w:highlight w:val="none"/>
          <w:lang w:eastAsia="zh-CN"/>
        </w:rPr>
        <w:t>人</w:t>
      </w:r>
      <w:r>
        <w:rPr>
          <w:rFonts w:hint="eastAsia" w:ascii="宋体" w:hAnsi="宋体" w:eastAsia="宋体" w:cs="宋体"/>
          <w:color w:val="auto"/>
          <w:sz w:val="21"/>
          <w:szCs w:val="21"/>
          <w:highlight w:val="none"/>
        </w:rPr>
        <w:t>和评标委员会不向未中标的投标人解释未中标原因，也不公布评标过程中的相关细节。</w:t>
      </w:r>
    </w:p>
    <w:p w14:paraId="62BF078D">
      <w:pPr>
        <w:pStyle w:val="13"/>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23.4采用综合评分法的项目，未中标的投标人可于中标结果公告期限届满之日起通过苏采云系统查看自</w:t>
      </w:r>
      <w:r>
        <w:rPr>
          <w:rFonts w:hint="eastAsia" w:ascii="宋体" w:hAnsi="宋体" w:eastAsia="宋体" w:cs="宋体"/>
          <w:color w:val="000000"/>
          <w:sz w:val="21"/>
          <w:szCs w:val="21"/>
          <w:highlight w:val="none"/>
        </w:rPr>
        <w:t>己的评审得分及排序情况。</w:t>
      </w:r>
    </w:p>
    <w:p w14:paraId="71EB1747">
      <w:pPr>
        <w:pStyle w:val="13"/>
        <w:keepNext/>
        <w:keepLines/>
        <w:pageBreakBefore w:val="0"/>
        <w:kinsoku/>
        <w:wordWrap/>
        <w:overflowPunct/>
        <w:topLinePunct w:val="0"/>
        <w:autoSpaceDE/>
        <w:autoSpaceDN/>
        <w:bidi w:val="0"/>
        <w:adjustRightInd/>
        <w:snapToGrid/>
        <w:spacing w:beforeAutospacing="0" w:afterAutospacing="0" w:line="360" w:lineRule="auto"/>
        <w:ind w:firstLine="420"/>
        <w:jc w:val="both"/>
        <w:rPr>
          <w:rFonts w:hint="eastAsia" w:ascii="宋体" w:hAnsi="宋体" w:eastAsia="宋体" w:cs="宋体"/>
          <w:sz w:val="21"/>
          <w:szCs w:val="21"/>
          <w:highlight w:val="none"/>
        </w:rPr>
      </w:pPr>
      <w:bookmarkStart w:id="122" w:name="_Toc513029232"/>
      <w:bookmarkEnd w:id="122"/>
      <w:bookmarkStart w:id="123" w:name="_Toc16938548"/>
      <w:bookmarkEnd w:id="123"/>
      <w:bookmarkStart w:id="124" w:name="_Toc20823304"/>
      <w:bookmarkEnd w:id="124"/>
      <w:r>
        <w:rPr>
          <w:rFonts w:hint="eastAsia" w:ascii="宋体" w:hAnsi="宋体" w:eastAsia="宋体" w:cs="宋体"/>
          <w:color w:val="000000"/>
          <w:sz w:val="21"/>
          <w:szCs w:val="21"/>
          <w:highlight w:val="none"/>
        </w:rPr>
        <w:t>24、投标文件的澄清</w:t>
      </w:r>
    </w:p>
    <w:p w14:paraId="5D9204A8">
      <w:pPr>
        <w:pStyle w:val="13"/>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24.1评标期间，评委会对投标文件中含义不明确、同类问题表述不一致或者有明显文字和计算错误的内容，有权要求投标人作出必要的澄清、说明或者补正。</w:t>
      </w:r>
    </w:p>
    <w:p w14:paraId="70AD3F74">
      <w:pPr>
        <w:pStyle w:val="13"/>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000000"/>
          <w:sz w:val="21"/>
          <w:szCs w:val="21"/>
          <w:highlight w:val="none"/>
        </w:rPr>
        <w:t>投标人的澄清、说明或者补正不得超出投标文件的范围或者改变投标文件的实质性内容。</w:t>
      </w:r>
    </w:p>
    <w:p w14:paraId="0399715D">
      <w:pPr>
        <w:pStyle w:val="13"/>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评标委员会并非对每个投标人都做澄清要求。</w:t>
      </w:r>
    </w:p>
    <w:p w14:paraId="3DA3A561">
      <w:pPr>
        <w:pStyle w:val="13"/>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24.2需要供应商进行澄清、说明和补正的，评委会将通过苏采云系统向供应商发出“澄清要求函”，接到“澄清要求函”的投标人应当按照要求在苏采云系统中提交“澄清响应函”并加盖CA电子公章。澄清、说明和补正的内容作为</w:t>
      </w:r>
      <w:r>
        <w:rPr>
          <w:rFonts w:hint="eastAsia" w:ascii="宋体" w:hAnsi="宋体" w:eastAsia="宋体" w:cs="宋体"/>
          <w:color w:val="000000"/>
          <w:sz w:val="21"/>
          <w:szCs w:val="21"/>
          <w:highlight w:val="none"/>
        </w:rPr>
        <w:t>投标文件的补充部分，具体操作方式见《操作手册》。</w:t>
      </w:r>
    </w:p>
    <w:p w14:paraId="365E38E9">
      <w:pPr>
        <w:pStyle w:val="13"/>
        <w:pageBreakBefore w:val="0"/>
        <w:kinsoku/>
        <w:wordWrap/>
        <w:overflowPunct/>
        <w:topLinePunct w:val="0"/>
        <w:autoSpaceDE/>
        <w:autoSpaceDN/>
        <w:bidi w:val="0"/>
        <w:adjustRightInd/>
        <w:snapToGrid/>
        <w:spacing w:beforeAutospacing="0" w:afterAutospacing="0" w:line="360" w:lineRule="auto"/>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24.3接到评委会澄清、说明和补正要求的投标人如未按规定做出澄清、说明和补正，其风险由投标人自行承担。</w:t>
      </w:r>
    </w:p>
    <w:p w14:paraId="3214C8D0">
      <w:pPr>
        <w:pStyle w:val="13"/>
        <w:keepNext/>
        <w:keepLines/>
        <w:pageBreakBefore w:val="0"/>
        <w:numPr>
          <w:ilvl w:val="0"/>
          <w:numId w:val="2"/>
        </w:numPr>
        <w:kinsoku/>
        <w:wordWrap/>
        <w:overflowPunct/>
        <w:topLinePunct w:val="0"/>
        <w:autoSpaceDE/>
        <w:autoSpaceDN/>
        <w:bidi w:val="0"/>
        <w:adjustRightInd/>
        <w:snapToGrid/>
        <w:spacing w:beforeAutospacing="0" w:afterAutospacing="0" w:line="360" w:lineRule="auto"/>
        <w:ind w:firstLine="420"/>
        <w:jc w:val="both"/>
        <w:rPr>
          <w:rFonts w:hint="eastAsia" w:ascii="宋体" w:hAnsi="宋体" w:eastAsia="宋体" w:cs="宋体"/>
          <w:color w:val="000000"/>
          <w:sz w:val="21"/>
          <w:szCs w:val="21"/>
          <w:highlight w:val="none"/>
        </w:rPr>
      </w:pPr>
      <w:bookmarkStart w:id="125" w:name="_Toc20823305"/>
      <w:bookmarkEnd w:id="125"/>
      <w:bookmarkStart w:id="126" w:name="_Toc16938549"/>
      <w:bookmarkEnd w:id="126"/>
      <w:bookmarkStart w:id="127" w:name="_Toc513029233"/>
      <w:bookmarkEnd w:id="127"/>
      <w:r>
        <w:rPr>
          <w:rFonts w:hint="eastAsia" w:ascii="宋体" w:hAnsi="宋体" w:eastAsia="宋体" w:cs="宋体"/>
          <w:color w:val="000000"/>
          <w:sz w:val="21"/>
          <w:szCs w:val="21"/>
          <w:highlight w:val="none"/>
        </w:rPr>
        <w:t>对投标文件的初审</w:t>
      </w:r>
    </w:p>
    <w:p w14:paraId="38DD77C6">
      <w:pPr>
        <w:pStyle w:val="13"/>
        <w:keepNext/>
        <w:keepLines/>
        <w:pageBreakBefore w:val="0"/>
        <w:numPr>
          <w:ilvl w:val="0"/>
          <w:numId w:val="0"/>
        </w:numPr>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25.1投标文件初审分为资格审查和符合性审查。</w:t>
      </w:r>
    </w:p>
    <w:p w14:paraId="765E5209">
      <w:pPr>
        <w:pStyle w:val="13"/>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25.1.1资格审查：依据法律法规和招标文件的规定，由采购人对投标文件中的资格证明文件进行审查。资格审查的结论，采购人以书面形式向评委会进行反馈。</w:t>
      </w:r>
    </w:p>
    <w:p w14:paraId="72DDA081">
      <w:pPr>
        <w:pStyle w:val="13"/>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采购人在进行资格性审查的同时，将在“信用中国”网站（www.creditchina.gov.cn）查询投标人的信用记录，以确定投标人是否具备投标资格,查询结果留存并归档。</w:t>
      </w:r>
    </w:p>
    <w:p w14:paraId="224383FE">
      <w:pPr>
        <w:pStyle w:val="13"/>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接受联合体的项目，两个以上的自然人、法人或者其他组织组成一个联合体，以一个供应商的身份共同参加政府采购活动的,联合体成员存在不良信用记录的，视同联合体存在不良应用记录。</w:t>
      </w:r>
    </w:p>
    <w:p w14:paraId="451AE79C">
      <w:pPr>
        <w:pStyle w:val="13"/>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000000"/>
          <w:sz w:val="21"/>
          <w:szCs w:val="21"/>
          <w:highlight w:val="none"/>
        </w:rPr>
        <w:t>25.1.2符合性审查：依据招标文件的规定，由评委会从投标文件的有效性、完整性和对招标文件的响应程度进行审查，以确定是否对招标文件的实质性要求作出响应。</w:t>
      </w:r>
    </w:p>
    <w:p w14:paraId="4360EDF4">
      <w:pPr>
        <w:pStyle w:val="13"/>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25.1.3未通过资格审查或符合性审查的投标人，采购</w:t>
      </w:r>
      <w:r>
        <w:rPr>
          <w:rFonts w:hint="eastAsia" w:ascii="宋体" w:hAnsi="宋体" w:eastAsia="宋体" w:cs="宋体"/>
          <w:color w:val="auto"/>
          <w:sz w:val="21"/>
          <w:szCs w:val="21"/>
          <w:highlight w:val="none"/>
          <w:lang w:eastAsia="zh-CN"/>
        </w:rPr>
        <w:t>人</w:t>
      </w:r>
      <w:r>
        <w:rPr>
          <w:rFonts w:hint="eastAsia" w:ascii="宋体" w:hAnsi="宋体" w:eastAsia="宋体" w:cs="宋体"/>
          <w:color w:val="auto"/>
          <w:sz w:val="21"/>
          <w:szCs w:val="21"/>
          <w:highlight w:val="none"/>
        </w:rPr>
        <w:t>将在苏采云系统中告知未通过资格审查或符合性审查的原因，评标结束后，采购</w:t>
      </w:r>
      <w:r>
        <w:rPr>
          <w:rFonts w:hint="eastAsia" w:ascii="宋体" w:hAnsi="宋体" w:eastAsia="宋体" w:cs="宋体"/>
          <w:color w:val="auto"/>
          <w:sz w:val="21"/>
          <w:szCs w:val="21"/>
          <w:highlight w:val="none"/>
          <w:lang w:eastAsia="zh-CN"/>
        </w:rPr>
        <w:t>人</w:t>
      </w:r>
      <w:r>
        <w:rPr>
          <w:rFonts w:hint="eastAsia" w:ascii="宋体" w:hAnsi="宋体" w:eastAsia="宋体" w:cs="宋体"/>
          <w:color w:val="auto"/>
          <w:sz w:val="21"/>
          <w:szCs w:val="21"/>
          <w:highlight w:val="none"/>
        </w:rPr>
        <w:t>将不再告知</w:t>
      </w:r>
      <w:r>
        <w:rPr>
          <w:rFonts w:hint="eastAsia" w:ascii="宋体" w:hAnsi="宋体" w:eastAsia="宋体" w:cs="宋体"/>
          <w:color w:val="000000"/>
          <w:sz w:val="21"/>
          <w:szCs w:val="21"/>
          <w:highlight w:val="none"/>
        </w:rPr>
        <w:t>未通过资格审查和符合性审查的原因。</w:t>
      </w:r>
    </w:p>
    <w:p w14:paraId="44E1C946">
      <w:pPr>
        <w:pStyle w:val="13"/>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25.2在详细评标之前，评委会将首先审查每份投标文件是否实质性响应了招标文件的要求。实质性响应的投标应该是与招标文件要求的全部条款、条件和规格相符，没有重大偏离或保留的投标。</w:t>
      </w:r>
    </w:p>
    <w:p w14:paraId="45E207C0">
      <w:pPr>
        <w:pStyle w:val="13"/>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所谓重大偏离或保留是指与招标文件规定的实质性要求存在负偏离，或者在实质上与招标文件不一致，而且限制了合同中买方和采购</w:t>
      </w:r>
      <w:r>
        <w:rPr>
          <w:rFonts w:hint="eastAsia" w:ascii="宋体" w:hAnsi="宋体" w:eastAsia="宋体" w:cs="宋体"/>
          <w:color w:val="000000"/>
          <w:sz w:val="21"/>
          <w:szCs w:val="21"/>
          <w:highlight w:val="none"/>
          <w:lang w:eastAsia="zh-CN"/>
        </w:rPr>
        <w:t>人</w:t>
      </w:r>
      <w:r>
        <w:rPr>
          <w:rFonts w:hint="eastAsia" w:ascii="宋体" w:hAnsi="宋体" w:eastAsia="宋体" w:cs="宋体"/>
          <w:color w:val="000000"/>
          <w:sz w:val="21"/>
          <w:szCs w:val="21"/>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53F718D5">
      <w:pPr>
        <w:pStyle w:val="13"/>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25.3如果投标文件实质上没有响应招标文件的要求，评委会将予以拒绝，投标人不得通过修改或撤销不合要求的偏离或保留而使其投标成为实质性响应的投标。</w:t>
      </w:r>
    </w:p>
    <w:p w14:paraId="166FC6A5">
      <w:pPr>
        <w:pStyle w:val="13"/>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25.4评委会将对确定为实质性响应的投标进行进一步审核，确定其是否有计算上或累加上的算术错误，修正错误的原则如下：</w:t>
      </w:r>
    </w:p>
    <w:p w14:paraId="53196F81">
      <w:pPr>
        <w:pStyle w:val="13"/>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（1）投标文件中开标一览表内容与投标文件中相应内容不一致的，以开标一览表为准。</w:t>
      </w:r>
    </w:p>
    <w:p w14:paraId="4D184DBB">
      <w:pPr>
        <w:pStyle w:val="13"/>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（2）大写金额和小写金额不一致的，以大写金额为准。</w:t>
      </w:r>
    </w:p>
    <w:p w14:paraId="1DFDC03E">
      <w:pPr>
        <w:pStyle w:val="13"/>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（3）单价金额小数点或者百分比有明显错位的，以开标一览表的总价为准，并修改单价。</w:t>
      </w:r>
    </w:p>
    <w:p w14:paraId="35C77500">
      <w:pPr>
        <w:pStyle w:val="13"/>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（4）总价金额与按单价汇总金额不一致的，以单价金额计算结果为准。</w:t>
      </w:r>
    </w:p>
    <w:p w14:paraId="7B4575EC">
      <w:pPr>
        <w:pStyle w:val="13"/>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同时出现两种以上错误的，按照前款规定的顺序修正。</w:t>
      </w:r>
    </w:p>
    <w:p w14:paraId="4372C2DF">
      <w:pPr>
        <w:pStyle w:val="13"/>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25.5评委会将按上述修正错误的方法调整投标文件中的投标报价，并通过苏采云系统告知投标人，调整后的价格应对投标人具有约束力。如果投标人不接受修正后的价格，则其投标将被拒绝。</w:t>
      </w:r>
    </w:p>
    <w:p w14:paraId="59F337D9">
      <w:pPr>
        <w:pStyle w:val="13"/>
        <w:pageBreakBefore w:val="0"/>
        <w:kinsoku/>
        <w:wordWrap/>
        <w:overflowPunct/>
        <w:topLinePunct w:val="0"/>
        <w:autoSpaceDE/>
        <w:autoSpaceDN/>
        <w:bidi w:val="0"/>
        <w:adjustRightInd/>
        <w:snapToGrid/>
        <w:spacing w:beforeAutospacing="0" w:afterAutospacing="0" w:line="360" w:lineRule="auto"/>
        <w:ind w:firstLine="420"/>
        <w:jc w:val="both"/>
        <w:rPr>
          <w:rFonts w:hint="eastAsia" w:ascii="宋体" w:hAnsi="宋体" w:eastAsia="宋体" w:cs="宋体"/>
          <w:color w:val="auto"/>
          <w:sz w:val="21"/>
          <w:szCs w:val="21"/>
          <w:highlight w:val="none"/>
        </w:rPr>
      </w:pPr>
      <w:bookmarkStart w:id="128" w:name="_Toc20823306"/>
      <w:bookmarkEnd w:id="128"/>
      <w:bookmarkStart w:id="129" w:name="_Toc513029234"/>
      <w:bookmarkEnd w:id="129"/>
      <w:bookmarkStart w:id="130" w:name="_Toc16938550"/>
      <w:bookmarkEnd w:id="130"/>
      <w:r>
        <w:rPr>
          <w:rFonts w:hint="eastAsia" w:ascii="宋体" w:hAnsi="宋体" w:eastAsia="宋体" w:cs="宋体"/>
          <w:color w:val="auto"/>
          <w:sz w:val="21"/>
          <w:szCs w:val="21"/>
          <w:highlight w:val="none"/>
        </w:rPr>
        <w:t>25.6投标人在开、评标全过程中应保持通讯畅通，及时登录苏采云系统查阅、答复相关信息，并安排专人与采购代理机构及评标委员会联系。</w:t>
      </w:r>
    </w:p>
    <w:p w14:paraId="1086DF67">
      <w:pPr>
        <w:pStyle w:val="13"/>
        <w:keepNext/>
        <w:keepLines/>
        <w:pageBreakBefore w:val="0"/>
        <w:kinsoku/>
        <w:wordWrap/>
        <w:overflowPunct/>
        <w:topLinePunct w:val="0"/>
        <w:autoSpaceDE/>
        <w:autoSpaceDN/>
        <w:bidi w:val="0"/>
        <w:adjustRightInd/>
        <w:snapToGrid/>
        <w:spacing w:beforeAutospacing="0" w:afterAutospacing="0"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26、无效投标条款和废标条款</w:t>
      </w:r>
    </w:p>
    <w:p w14:paraId="70211670">
      <w:pPr>
        <w:pStyle w:val="13"/>
        <w:pageBreakBefore w:val="0"/>
        <w:kinsoku/>
        <w:wordWrap/>
        <w:overflowPunct/>
        <w:topLinePunct w:val="0"/>
        <w:autoSpaceDE/>
        <w:autoSpaceDN/>
        <w:bidi w:val="0"/>
        <w:adjustRightInd/>
        <w:snapToGrid/>
        <w:spacing w:beforeAutospacing="0" w:afterAutospacing="0" w:line="360" w:lineRule="auto"/>
        <w:ind w:left="479"/>
        <w:jc w:val="both"/>
        <w:rPr>
          <w:rFonts w:hint="eastAsia" w:ascii="宋体" w:hAnsi="宋体" w:eastAsia="宋体" w:cs="宋体"/>
          <w:color w:val="auto"/>
          <w:sz w:val="21"/>
          <w:szCs w:val="21"/>
          <w:highlight w:val="none"/>
        </w:rPr>
      </w:pPr>
      <w:bookmarkStart w:id="131" w:name="_Toc16938551"/>
      <w:bookmarkEnd w:id="131"/>
      <w:bookmarkStart w:id="132" w:name="_Toc20823307"/>
      <w:bookmarkEnd w:id="132"/>
      <w:bookmarkStart w:id="133" w:name="_Toc513029235"/>
      <w:bookmarkEnd w:id="133"/>
      <w:r>
        <w:rPr>
          <w:rFonts w:hint="eastAsia" w:ascii="宋体" w:hAnsi="宋体" w:eastAsia="宋体" w:cs="宋体"/>
          <w:color w:val="auto"/>
          <w:sz w:val="21"/>
          <w:szCs w:val="21"/>
          <w:highlight w:val="none"/>
        </w:rPr>
        <w:t>26.1无效投标条款</w:t>
      </w:r>
    </w:p>
    <w:p w14:paraId="743514C0">
      <w:pPr>
        <w:pStyle w:val="13"/>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26.1.1投标人在苏采云系统规定的时间内未成功解密电子投标文件的。</w:t>
      </w:r>
    </w:p>
    <w:p w14:paraId="18755E40">
      <w:pPr>
        <w:pStyle w:val="13"/>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26.1.2投标人未按照招标文件要求上传电子投标文件的。</w:t>
      </w:r>
    </w:p>
    <w:p w14:paraId="43043EFC">
      <w:pPr>
        <w:pStyle w:val="13"/>
        <w:pageBreakBefore w:val="0"/>
        <w:kinsoku/>
        <w:wordWrap/>
        <w:overflowPunct/>
        <w:topLinePunct w:val="0"/>
        <w:autoSpaceDE/>
        <w:autoSpaceDN/>
        <w:bidi w:val="0"/>
        <w:adjustRightInd/>
        <w:snapToGrid/>
        <w:spacing w:beforeAutospacing="0" w:afterAutospacing="0" w:line="360" w:lineRule="auto"/>
        <w:ind w:left="479"/>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26.1.3同一投标人提交两个（含两个）以上不同的投标报价的。</w:t>
      </w:r>
    </w:p>
    <w:p w14:paraId="417D4277">
      <w:pPr>
        <w:pStyle w:val="13"/>
        <w:pageBreakBefore w:val="0"/>
        <w:kinsoku/>
        <w:wordWrap/>
        <w:overflowPunct/>
        <w:topLinePunct w:val="0"/>
        <w:autoSpaceDE/>
        <w:autoSpaceDN/>
        <w:bidi w:val="0"/>
        <w:adjustRightInd/>
        <w:snapToGrid/>
        <w:spacing w:beforeAutospacing="0" w:afterAutospacing="0" w:line="360" w:lineRule="auto"/>
        <w:ind w:left="479"/>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26.1.4投标人不具备招标文件中规定资格要求的。</w:t>
      </w:r>
    </w:p>
    <w:p w14:paraId="718C1A3E">
      <w:pPr>
        <w:pStyle w:val="13"/>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26.1.5投标人的报价超过了最高限价的。</w:t>
      </w:r>
    </w:p>
    <w:p w14:paraId="17E71AF3">
      <w:pPr>
        <w:pStyle w:val="13"/>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26.1.6未通过符合性审查的。</w:t>
      </w:r>
    </w:p>
    <w:p w14:paraId="15AA5409">
      <w:pPr>
        <w:pStyle w:val="13"/>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sz w:val="21"/>
          <w:szCs w:val="21"/>
          <w:highlight w:val="none"/>
          <w:lang w:eastAsia="zh-CN"/>
        </w:rPr>
      </w:pPr>
      <w:r>
        <w:rPr>
          <w:rFonts w:hint="eastAsia" w:ascii="宋体" w:hAnsi="宋体" w:eastAsia="宋体" w:cs="宋体"/>
          <w:color w:val="000000"/>
          <w:sz w:val="21"/>
          <w:szCs w:val="21"/>
          <w:highlight w:val="none"/>
        </w:rPr>
        <w:t>26.1.7不符合招标文件中规定的实质性要求和条件的</w:t>
      </w:r>
      <w:r>
        <w:rPr>
          <w:rFonts w:hint="eastAsia" w:ascii="宋体" w:hAnsi="宋体" w:eastAsia="宋体" w:cs="宋体"/>
          <w:color w:val="000000"/>
          <w:sz w:val="21"/>
          <w:szCs w:val="21"/>
          <w:highlight w:val="none"/>
          <w:lang w:eastAsia="zh-CN"/>
        </w:rPr>
        <w:t>。</w:t>
      </w:r>
    </w:p>
    <w:p w14:paraId="1D12BB20">
      <w:pPr>
        <w:pStyle w:val="13"/>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06966F50">
      <w:pPr>
        <w:pStyle w:val="13"/>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26.1.9投标文件含有采购人不能接受的附加条件的。</w:t>
      </w:r>
    </w:p>
    <w:p w14:paraId="0CA4F98F">
      <w:pPr>
        <w:pStyle w:val="13"/>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000000"/>
          <w:sz w:val="21"/>
          <w:szCs w:val="21"/>
          <w:highlight w:val="none"/>
        </w:rPr>
        <w:t>26.1.10评标委员会认为投标人的报价明显低于其他通过符合性审查投标人的报价，有可能影响产品质量或者不能诚信履约</w:t>
      </w:r>
      <w:r>
        <w:rPr>
          <w:rFonts w:hint="eastAsia" w:ascii="宋体" w:hAnsi="宋体" w:eastAsia="宋体" w:cs="宋体"/>
          <w:color w:val="auto"/>
          <w:sz w:val="21"/>
          <w:szCs w:val="21"/>
          <w:highlight w:val="none"/>
        </w:rPr>
        <w:t>的，将通过苏采云系统要求其在合理的时间内提供说明，必要时提交相关证明材料；投标人不能证明其报价合理性的，评标委员会应当将其作为无效投标处理。</w:t>
      </w:r>
    </w:p>
    <w:p w14:paraId="637A31CB">
      <w:pPr>
        <w:pStyle w:val="13"/>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26.1.11投标文件未按照招标文件要求加盖CA电子公章的。</w:t>
      </w:r>
    </w:p>
    <w:p w14:paraId="62AA5B8B">
      <w:pPr>
        <w:pStyle w:val="13"/>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26.1.12其他法律、法规及本招标文件规定的属无效投标的情形。</w:t>
      </w:r>
    </w:p>
    <w:p w14:paraId="290000D0">
      <w:pPr>
        <w:pStyle w:val="13"/>
        <w:pageBreakBefore w:val="0"/>
        <w:kinsoku/>
        <w:wordWrap/>
        <w:overflowPunct/>
        <w:topLinePunct w:val="0"/>
        <w:autoSpaceDE/>
        <w:autoSpaceDN/>
        <w:bidi w:val="0"/>
        <w:adjustRightInd/>
        <w:snapToGrid/>
        <w:spacing w:beforeAutospacing="0" w:afterAutospacing="0" w:line="360" w:lineRule="auto"/>
        <w:ind w:left="479"/>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26.2废标条款</w:t>
      </w:r>
    </w:p>
    <w:p w14:paraId="6D8FDC66">
      <w:pPr>
        <w:pStyle w:val="13"/>
        <w:pageBreakBefore w:val="0"/>
        <w:kinsoku/>
        <w:wordWrap/>
        <w:overflowPunct/>
        <w:topLinePunct w:val="0"/>
        <w:autoSpaceDE/>
        <w:autoSpaceDN/>
        <w:bidi w:val="0"/>
        <w:adjustRightInd/>
        <w:snapToGrid/>
        <w:spacing w:beforeAutospacing="0" w:afterAutospacing="0" w:line="360" w:lineRule="auto"/>
        <w:ind w:left="479"/>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26.2.1符合专业条件的供应商或者对招标文件作实质响应的供应商不足三家的。</w:t>
      </w:r>
    </w:p>
    <w:p w14:paraId="7DA11FF4">
      <w:pPr>
        <w:pStyle w:val="13"/>
        <w:pageBreakBefore w:val="0"/>
        <w:kinsoku/>
        <w:wordWrap/>
        <w:overflowPunct/>
        <w:topLinePunct w:val="0"/>
        <w:autoSpaceDE/>
        <w:autoSpaceDN/>
        <w:bidi w:val="0"/>
        <w:adjustRightInd/>
        <w:snapToGrid/>
        <w:spacing w:beforeAutospacing="0" w:afterAutospacing="0" w:line="360" w:lineRule="auto"/>
        <w:ind w:left="479"/>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26.2.2出现影响采购公正的违法、违规行为的。</w:t>
      </w:r>
    </w:p>
    <w:p w14:paraId="331C5E21">
      <w:pPr>
        <w:pStyle w:val="13"/>
        <w:pageBreakBefore w:val="0"/>
        <w:kinsoku/>
        <w:wordWrap/>
        <w:overflowPunct/>
        <w:topLinePunct w:val="0"/>
        <w:autoSpaceDE/>
        <w:autoSpaceDN/>
        <w:bidi w:val="0"/>
        <w:adjustRightInd/>
        <w:snapToGrid/>
        <w:spacing w:beforeAutospacing="0" w:afterAutospacing="0" w:line="360" w:lineRule="auto"/>
        <w:ind w:left="479"/>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26.2.3因重大变故，采购任务取消的。</w:t>
      </w:r>
    </w:p>
    <w:p w14:paraId="4468F6E1">
      <w:pPr>
        <w:pStyle w:val="13"/>
        <w:pageBreakBefore w:val="0"/>
        <w:kinsoku/>
        <w:wordWrap/>
        <w:overflowPunct/>
        <w:topLinePunct w:val="0"/>
        <w:autoSpaceDE/>
        <w:autoSpaceDN/>
        <w:bidi w:val="0"/>
        <w:adjustRightInd/>
        <w:snapToGrid/>
        <w:spacing w:beforeAutospacing="0" w:afterAutospacing="0" w:line="360" w:lineRule="auto"/>
        <w:ind w:left="479"/>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26.2.4评标委员会认定招标文件存在歧义、重大缺陷导致评审工作无法进行。</w:t>
      </w:r>
    </w:p>
    <w:p w14:paraId="63B68667">
      <w:pPr>
        <w:pStyle w:val="13"/>
        <w:pageBreakBefore w:val="0"/>
        <w:kinsoku/>
        <w:wordWrap/>
        <w:overflowPunct/>
        <w:topLinePunct w:val="0"/>
        <w:autoSpaceDE/>
        <w:autoSpaceDN/>
        <w:bidi w:val="0"/>
        <w:adjustRightInd/>
        <w:snapToGrid/>
        <w:spacing w:beforeAutospacing="0" w:afterAutospacing="0" w:line="360" w:lineRule="auto"/>
        <w:ind w:left="479"/>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26.2.5因苏采云系统系统故障原因造成开标不成功的。</w:t>
      </w:r>
    </w:p>
    <w:p w14:paraId="08B126AF">
      <w:pPr>
        <w:pStyle w:val="13"/>
        <w:pageBreakBefore w:val="0"/>
        <w:kinsoku/>
        <w:wordWrap/>
        <w:overflowPunct/>
        <w:topLinePunct w:val="0"/>
        <w:autoSpaceDE/>
        <w:autoSpaceDN/>
        <w:bidi w:val="0"/>
        <w:adjustRightInd/>
        <w:snapToGrid/>
        <w:spacing w:beforeAutospacing="0" w:afterAutospacing="0" w:line="360" w:lineRule="auto"/>
        <w:ind w:left="479"/>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26.3 投标截止时间结束后参加投标的供应商不足三家的处理：</w:t>
      </w:r>
    </w:p>
    <w:p w14:paraId="43AD8F35">
      <w:pPr>
        <w:pStyle w:val="13"/>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26.3.1如出现投标截止时间结束后参加投标的供应商或者在评标期间对招标文件做出实质响应的供应商不足三家情况，按政府采购相关规定执行。</w:t>
      </w:r>
    </w:p>
    <w:p w14:paraId="27AABF4D">
      <w:pPr>
        <w:pStyle w:val="13"/>
        <w:keepNext/>
        <w:keepLines/>
        <w:pageBreakBefore w:val="0"/>
        <w:kinsoku/>
        <w:wordWrap/>
        <w:overflowPunct/>
        <w:topLinePunct w:val="0"/>
        <w:autoSpaceDE/>
        <w:autoSpaceDN/>
        <w:bidi w:val="0"/>
        <w:adjustRightInd/>
        <w:snapToGrid/>
        <w:spacing w:beforeAutospacing="0" w:afterAutospacing="0" w:line="360" w:lineRule="auto"/>
        <w:ind w:firstLine="482"/>
        <w:jc w:val="both"/>
        <w:rPr>
          <w:rFonts w:hint="eastAsia" w:ascii="宋体" w:hAnsi="宋体" w:eastAsia="宋体" w:cs="宋体"/>
          <w:sz w:val="21"/>
          <w:szCs w:val="21"/>
          <w:highlight w:val="none"/>
        </w:rPr>
      </w:pPr>
      <w:bookmarkStart w:id="134" w:name="_Toc120614219"/>
      <w:bookmarkEnd w:id="134"/>
      <w:r>
        <w:rPr>
          <w:rFonts w:hint="eastAsia" w:ascii="宋体" w:hAnsi="宋体" w:eastAsia="宋体" w:cs="宋体"/>
          <w:b/>
          <w:color w:val="000000"/>
          <w:sz w:val="21"/>
          <w:szCs w:val="21"/>
          <w:highlight w:val="none"/>
        </w:rPr>
        <w:t>六、定标</w:t>
      </w:r>
    </w:p>
    <w:p w14:paraId="465707F1">
      <w:pPr>
        <w:pStyle w:val="13"/>
        <w:keepNext/>
        <w:keepLines/>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sz w:val="21"/>
          <w:szCs w:val="21"/>
          <w:highlight w:val="none"/>
        </w:rPr>
      </w:pPr>
      <w:bookmarkStart w:id="135" w:name="_Toc20823310"/>
      <w:bookmarkEnd w:id="135"/>
      <w:bookmarkStart w:id="136" w:name="_Toc513029238"/>
      <w:bookmarkEnd w:id="136"/>
      <w:bookmarkStart w:id="137" w:name="_Toc16938554"/>
      <w:bookmarkEnd w:id="137"/>
      <w:r>
        <w:rPr>
          <w:rFonts w:hint="eastAsia" w:ascii="宋体" w:hAnsi="宋体" w:eastAsia="宋体" w:cs="宋体"/>
          <w:color w:val="000000"/>
          <w:sz w:val="21"/>
          <w:szCs w:val="21"/>
          <w:highlight w:val="none"/>
        </w:rPr>
        <w:t>27、确定中标单位</w:t>
      </w:r>
    </w:p>
    <w:p w14:paraId="33DC6F9F">
      <w:pPr>
        <w:pStyle w:val="13"/>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27.1中标候选人的选取原则和数量见招标文件第五章规定。 </w:t>
      </w:r>
    </w:p>
    <w:p w14:paraId="1226AA51">
      <w:pPr>
        <w:pStyle w:val="13"/>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27.2采购人应根据评委会推荐的中标候选人确定中标人。</w:t>
      </w:r>
    </w:p>
    <w:p w14:paraId="52F37DF8">
      <w:pPr>
        <w:pStyle w:val="13"/>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27.3采购代理机构将在</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中国政府采购网”、</w:t>
      </w:r>
      <w:r>
        <w:rPr>
          <w:rFonts w:hint="eastAsia" w:ascii="宋体" w:hAnsi="宋体" w:eastAsia="宋体" w:cs="宋体"/>
          <w:color w:val="000000"/>
          <w:sz w:val="21"/>
          <w:szCs w:val="21"/>
          <w:highlight w:val="none"/>
        </w:rPr>
        <w:t>“江苏政府采购网”、“盐城市政府采购网”发布中标公告，公告期限为1个工作日。</w:t>
      </w:r>
    </w:p>
    <w:p w14:paraId="4E3041A0">
      <w:pPr>
        <w:pStyle w:val="13"/>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27.4若有充分证据证明，中标人出现下列情况之一的，一经查实，将被取消中标资格：</w:t>
      </w:r>
    </w:p>
    <w:p w14:paraId="565E0499">
      <w:pPr>
        <w:pStyle w:val="13"/>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27.4.1提供虚假材料谋取中标的。</w:t>
      </w:r>
    </w:p>
    <w:p w14:paraId="69EF0A01">
      <w:pPr>
        <w:pStyle w:val="13"/>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27.4.2向采购人、采购代理机构行贿或者提供其他不正当利益的。</w:t>
      </w:r>
    </w:p>
    <w:p w14:paraId="7AD1D59A">
      <w:pPr>
        <w:pStyle w:val="13"/>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27.4.3属于本文件规定的无效条件，但在评标过程中又未被评委会发现的。</w:t>
      </w:r>
    </w:p>
    <w:p w14:paraId="067E0A16">
      <w:pPr>
        <w:pStyle w:val="13"/>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27.4.4与采购人或者其他供应商恶意串通的。</w:t>
      </w:r>
    </w:p>
    <w:p w14:paraId="4D1E949F">
      <w:pPr>
        <w:pStyle w:val="13"/>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27.4.5采取不正当手段诋毁、排挤其他供应商的。</w:t>
      </w:r>
    </w:p>
    <w:p w14:paraId="77DE798C">
      <w:pPr>
        <w:pStyle w:val="13"/>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sz w:val="21"/>
          <w:szCs w:val="21"/>
          <w:highlight w:val="none"/>
        </w:rPr>
      </w:pPr>
      <w:bookmarkStart w:id="138" w:name="_Toc200451960"/>
      <w:bookmarkEnd w:id="138"/>
      <w:r>
        <w:rPr>
          <w:rFonts w:hint="eastAsia" w:ascii="宋体" w:hAnsi="宋体" w:eastAsia="宋体" w:cs="宋体"/>
          <w:color w:val="000000"/>
          <w:sz w:val="21"/>
          <w:szCs w:val="21"/>
          <w:highlight w:val="none"/>
        </w:rPr>
        <w:t>27.5 有下列情形之一的，视为投标人串通投标，投标无效：</w:t>
      </w:r>
    </w:p>
    <w:p w14:paraId="26621297">
      <w:pPr>
        <w:pStyle w:val="13"/>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27.5.1不同投标人的投标文件由同一单位或者个人编制。</w:t>
      </w:r>
    </w:p>
    <w:p w14:paraId="2401F223">
      <w:pPr>
        <w:pStyle w:val="13"/>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27.5.2不同投标人委托同一单位或者个人办理投标事宜。</w:t>
      </w:r>
    </w:p>
    <w:p w14:paraId="1E6DB453">
      <w:pPr>
        <w:pStyle w:val="13"/>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27.5.3不同投标人的投标文件载明的项目管理成员或者联系人员为同一人。</w:t>
      </w:r>
    </w:p>
    <w:p w14:paraId="2D20B2EE">
      <w:pPr>
        <w:pStyle w:val="13"/>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27.5.4不同投标人的投标文件异常一致或者投标报价呈规律性差异。</w:t>
      </w:r>
    </w:p>
    <w:p w14:paraId="652F7697">
      <w:pPr>
        <w:pStyle w:val="13"/>
        <w:keepNext/>
        <w:keepLines/>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28、质疑处理</w:t>
      </w:r>
    </w:p>
    <w:p w14:paraId="505A86E5">
      <w:pPr>
        <w:pStyle w:val="13"/>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28.1提出质疑的供应商应当是参与所质疑项目采购活动的供应商。潜在供应商依法获取其可质疑的采购文件的，可以对采购文件提出质疑。</w:t>
      </w:r>
    </w:p>
    <w:p w14:paraId="06171401">
      <w:pPr>
        <w:pStyle w:val="13"/>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p>
    <w:p w14:paraId="16F619D8">
      <w:pPr>
        <w:pStyle w:val="13"/>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28.2.1对可以质疑的采购文件提出质疑的，为收到采购文件之日或者采购文件公告期限届满之日；</w:t>
      </w:r>
    </w:p>
    <w:p w14:paraId="03295220">
      <w:pPr>
        <w:pStyle w:val="13"/>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28.2.2对采购过程提出质疑的，为各采购程序环节结束之日；</w:t>
      </w:r>
    </w:p>
    <w:p w14:paraId="789F03F9">
      <w:pPr>
        <w:pStyle w:val="13"/>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28.2.3对中标或者成交结果提出质疑的，为中标或者成交结果公告期限届满之日。</w:t>
      </w:r>
    </w:p>
    <w:p w14:paraId="690B069A">
      <w:pPr>
        <w:pStyle w:val="13"/>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供应商应当在法定质疑期内一次性提出针对同一采购程序环节的质疑。供应商如在法定期限内对同一采购程序环节提出多次质疑的，采购代理机构、采购人将只对供应商第一次质疑作出答复。</w:t>
      </w:r>
    </w:p>
    <w:p w14:paraId="772FD7FA">
      <w:pPr>
        <w:pStyle w:val="13"/>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28.3质疑函必须按照本招标文件中《质疑函范本》要求的格式和内容进行填写。供应商如组成联合体参加投标，则《质疑函范本》中要求签字、盖章、加盖公章之处，联合体各方均须按要求签字、盖章、加盖公章。</w:t>
      </w:r>
    </w:p>
    <w:p w14:paraId="3FADD71B">
      <w:pPr>
        <w:pStyle w:val="13"/>
        <w:pageBreakBefore w:val="0"/>
        <w:kinsoku/>
        <w:wordWrap/>
        <w:overflowPunct/>
        <w:topLinePunct w:val="0"/>
        <w:autoSpaceDE/>
        <w:autoSpaceDN/>
        <w:bidi w:val="0"/>
        <w:adjustRightInd/>
        <w:snapToGrid/>
        <w:spacing w:beforeAutospacing="0" w:afterAutospacing="0" w:line="360" w:lineRule="auto"/>
        <w:ind w:firstLine="482"/>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28.4</w:t>
      </w:r>
      <w:r>
        <w:rPr>
          <w:rFonts w:hint="eastAsia" w:ascii="宋体" w:hAnsi="宋体" w:eastAsia="宋体" w:cs="宋体"/>
          <w:color w:val="000000" w:themeColor="text1"/>
          <w:sz w:val="21"/>
          <w:szCs w:val="21"/>
          <w:highlight w:val="none"/>
          <w14:textFill>
            <w14:solidFill>
              <w14:schemeClr w14:val="tx1"/>
            </w14:solidFill>
          </w14:textFill>
        </w:rPr>
        <w:t>供应商（含潜在供应商）对采购方式、采购需求、供应商资格条件及审查结果、评标方法和评标标准、合同文本的询问、质疑请向采购人提出，由采购人负责答复。</w:t>
      </w:r>
      <w:r>
        <w:rPr>
          <w:rFonts w:hint="eastAsia" w:ascii="宋体" w:hAnsi="宋体" w:eastAsia="宋体" w:cs="宋体"/>
          <w:color w:val="000000"/>
          <w:sz w:val="21"/>
          <w:szCs w:val="21"/>
          <w:highlight w:val="none"/>
        </w:rPr>
        <w:t>供应商对除上述事项以外其他事项的询问、质疑请向采购代理机构提出，由采购代理机构负责答复。</w:t>
      </w:r>
    </w:p>
    <w:p w14:paraId="00EE250A">
      <w:pPr>
        <w:pageBreakBefore w:val="0"/>
        <w:tabs>
          <w:tab w:val="left" w:pos="1331"/>
        </w:tabs>
        <w:kinsoku/>
        <w:wordWrap/>
        <w:overflowPunct/>
        <w:topLinePunct w:val="0"/>
        <w:autoSpaceDE/>
        <w:autoSpaceDN/>
        <w:bidi w:val="0"/>
        <w:adjustRightInd/>
        <w:snapToGrid/>
        <w:spacing w:line="360" w:lineRule="auto"/>
        <w:ind w:firstLine="420" w:firstLineChars="200"/>
        <w:jc w:val="left"/>
        <w:rPr>
          <w:rFonts w:hint="eastAsia" w:ascii="宋体" w:hAnsi="宋体" w:eastAsia="宋体" w:cs="宋体"/>
          <w:color w:val="000000"/>
          <w:kern w:val="0"/>
          <w:sz w:val="21"/>
          <w:szCs w:val="21"/>
          <w:highlight w:val="none"/>
          <w:lang w:val="en-US" w:eastAsia="zh-CN" w:bidi="ar-SA"/>
        </w:rPr>
      </w:pPr>
      <w:r>
        <w:rPr>
          <w:rFonts w:hint="eastAsia" w:ascii="宋体" w:hAnsi="宋体" w:eastAsia="宋体" w:cs="宋体"/>
          <w:color w:val="000000"/>
          <w:kern w:val="0"/>
          <w:sz w:val="21"/>
          <w:szCs w:val="21"/>
          <w:highlight w:val="none"/>
          <w:lang w:val="en-US" w:eastAsia="zh-CN" w:bidi="ar-SA"/>
        </w:rPr>
        <w:t>采购代理机构及采购人只接收以纸质原件形式送达的质疑,采购人和</w:t>
      </w:r>
      <w:r>
        <w:rPr>
          <w:rFonts w:hint="eastAsia" w:asciiTheme="minorEastAsia" w:hAnsiTheme="minorEastAsia" w:eastAsiaTheme="minorEastAsia"/>
          <w:color w:val="000000"/>
          <w:highlight w:val="none"/>
        </w:rPr>
        <w:t>采购代理机构</w:t>
      </w:r>
      <w:r>
        <w:rPr>
          <w:rFonts w:hint="eastAsia" w:ascii="宋体" w:hAnsi="宋体" w:eastAsia="宋体" w:cs="宋体"/>
          <w:color w:val="000000"/>
          <w:kern w:val="0"/>
          <w:sz w:val="21"/>
          <w:szCs w:val="21"/>
          <w:highlight w:val="none"/>
          <w:lang w:val="en-US" w:eastAsia="zh-CN" w:bidi="ar-SA"/>
        </w:rPr>
        <w:t>不接受未填写快递运单的快件。质疑接收部门为公共资源交易中心业务受理处。</w:t>
      </w:r>
    </w:p>
    <w:p w14:paraId="61AE29BB">
      <w:pPr>
        <w:pStyle w:val="13"/>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28.5 以下情形的质疑不予受理</w:t>
      </w:r>
    </w:p>
    <w:p w14:paraId="7685D7F7">
      <w:pPr>
        <w:pStyle w:val="13"/>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28.5.1内容不符合《政府采购质疑和投诉办法》第十二条规定的质疑。</w:t>
      </w:r>
    </w:p>
    <w:p w14:paraId="0EF12A8E">
      <w:pPr>
        <w:pStyle w:val="13"/>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28.5.2超出政府采购法定期限的质疑。</w:t>
      </w:r>
    </w:p>
    <w:p w14:paraId="6CCCC6DA">
      <w:pPr>
        <w:pStyle w:val="13"/>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28.5.3以传真、电子邮件等方式递交的非原件形式的质疑。</w:t>
      </w:r>
    </w:p>
    <w:p w14:paraId="6465B331">
      <w:pPr>
        <w:pStyle w:val="13"/>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28.5.4未参加投标活动的供应商或在投标活动中自身权益未受到损害的供应商所提出的质疑。</w:t>
      </w:r>
    </w:p>
    <w:p w14:paraId="4DF102C0">
      <w:pPr>
        <w:pStyle w:val="13"/>
        <w:pageBreakBefore w:val="0"/>
        <w:kinsoku/>
        <w:wordWrap/>
        <w:overflowPunct/>
        <w:topLinePunct w:val="0"/>
        <w:autoSpaceDE/>
        <w:autoSpaceDN/>
        <w:bidi w:val="0"/>
        <w:adjustRightInd/>
        <w:snapToGrid/>
        <w:spacing w:beforeAutospacing="0" w:afterAutospacing="0" w:line="360" w:lineRule="auto"/>
        <w:ind w:firstLine="48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28.5.5供应商组成联合体参加投标，联合体中任何一方或多方未按要求签字、盖章、加盖公章的质疑。</w:t>
      </w:r>
    </w:p>
    <w:p w14:paraId="002A7AE6">
      <w:pPr>
        <w:pStyle w:val="13"/>
        <w:pageBreakBefore w:val="0"/>
        <w:kinsoku/>
        <w:wordWrap/>
        <w:overflowPunct/>
        <w:topLinePunct w:val="0"/>
        <w:autoSpaceDE/>
        <w:autoSpaceDN/>
        <w:bidi w:val="0"/>
        <w:adjustRightInd/>
        <w:snapToGrid/>
        <w:spacing w:beforeAutospacing="0" w:afterAutospacing="0" w:line="360" w:lineRule="auto"/>
        <w:ind w:firstLine="468"/>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28.6供应商提出书面质疑必须有理、有据，不得捏造事实、提供虚假材料进行恶意质疑。否则，一经查实，</w:t>
      </w:r>
      <w:r>
        <w:rPr>
          <w:rFonts w:hint="eastAsia" w:ascii="宋体" w:hAnsi="宋体" w:eastAsia="宋体" w:cs="宋体"/>
          <w:color w:val="000000"/>
          <w:sz w:val="21"/>
          <w:szCs w:val="21"/>
          <w:highlight w:val="none"/>
          <w:lang w:eastAsia="zh-CN"/>
        </w:rPr>
        <w:t>采购人或</w:t>
      </w:r>
      <w:r>
        <w:rPr>
          <w:rFonts w:hint="eastAsia" w:ascii="宋体" w:hAnsi="宋体" w:eastAsia="宋体" w:cs="宋体"/>
          <w:color w:val="000000"/>
          <w:sz w:val="21"/>
          <w:szCs w:val="21"/>
          <w:highlight w:val="none"/>
        </w:rPr>
        <w:t>采购代理机构有权依据政府采购的有关规定，报请政府采购监管部门对该供应商进行相应的行政处罚和记录该供应商的失信信息。</w:t>
      </w:r>
    </w:p>
    <w:p w14:paraId="7706FE79">
      <w:pPr>
        <w:pStyle w:val="13"/>
        <w:keepNext/>
        <w:keepLines/>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29、中标通知书</w:t>
      </w:r>
    </w:p>
    <w:p w14:paraId="0E485894">
      <w:pPr>
        <w:pStyle w:val="13"/>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000000"/>
          <w:sz w:val="21"/>
          <w:szCs w:val="21"/>
          <w:highlight w:val="none"/>
        </w:rPr>
        <w:t>29.l中标结果确定后，采购</w:t>
      </w:r>
      <w:r>
        <w:rPr>
          <w:rFonts w:hint="eastAsia" w:ascii="宋体" w:hAnsi="宋体" w:eastAsia="宋体" w:cs="宋体"/>
          <w:color w:val="000000"/>
          <w:sz w:val="21"/>
          <w:szCs w:val="21"/>
          <w:highlight w:val="none"/>
          <w:lang w:eastAsia="zh-CN"/>
        </w:rPr>
        <w:t>人</w:t>
      </w:r>
      <w:r>
        <w:rPr>
          <w:rFonts w:hint="eastAsia" w:ascii="宋体" w:hAnsi="宋体" w:eastAsia="宋体" w:cs="宋体"/>
          <w:color w:val="000000"/>
          <w:sz w:val="21"/>
          <w:szCs w:val="21"/>
          <w:highlight w:val="none"/>
        </w:rPr>
        <w:t>将向中标人发</w:t>
      </w:r>
      <w:r>
        <w:rPr>
          <w:rFonts w:hint="eastAsia" w:ascii="宋体" w:hAnsi="宋体" w:eastAsia="宋体" w:cs="宋体"/>
          <w:color w:val="auto"/>
          <w:sz w:val="21"/>
          <w:szCs w:val="21"/>
          <w:highlight w:val="none"/>
        </w:rPr>
        <w:t>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1B34CD17">
      <w:pPr>
        <w:pStyle w:val="13"/>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29.2中标通知书将是合同的一个组成部分。对采购人和中标人均具有法律</w:t>
      </w:r>
      <w:r>
        <w:rPr>
          <w:rFonts w:hint="eastAsia" w:ascii="宋体" w:hAnsi="宋体" w:eastAsia="宋体" w:cs="宋体"/>
          <w:color w:val="000000"/>
          <w:sz w:val="21"/>
          <w:szCs w:val="21"/>
          <w:highlight w:val="none"/>
        </w:rPr>
        <w:t>效力。中标通知书发出后，采购人改变中标结果的，或者中标人放弃中标项目的，应当依法承担法律责任。</w:t>
      </w:r>
    </w:p>
    <w:p w14:paraId="567B56B5">
      <w:pPr>
        <w:pStyle w:val="13"/>
        <w:keepNext/>
        <w:keepLines/>
        <w:pageBreakBefore w:val="0"/>
        <w:kinsoku/>
        <w:wordWrap/>
        <w:overflowPunct/>
        <w:topLinePunct w:val="0"/>
        <w:autoSpaceDE/>
        <w:autoSpaceDN/>
        <w:bidi w:val="0"/>
        <w:adjustRightInd/>
        <w:snapToGrid/>
        <w:spacing w:beforeAutospacing="0" w:afterAutospacing="0" w:line="360" w:lineRule="auto"/>
        <w:jc w:val="both"/>
        <w:rPr>
          <w:rFonts w:hint="eastAsia" w:ascii="宋体" w:hAnsi="宋体" w:eastAsia="宋体" w:cs="宋体"/>
          <w:sz w:val="21"/>
          <w:szCs w:val="21"/>
          <w:highlight w:val="none"/>
        </w:rPr>
      </w:pPr>
      <w:bookmarkStart w:id="139" w:name="_Toc20823308"/>
      <w:bookmarkEnd w:id="139"/>
      <w:bookmarkStart w:id="140" w:name="_Toc513029236"/>
      <w:bookmarkEnd w:id="140"/>
      <w:bookmarkStart w:id="141" w:name="_Toc120614220"/>
      <w:bookmarkEnd w:id="141"/>
      <w:bookmarkStart w:id="142" w:name="_Toc16938552"/>
      <w:bookmarkEnd w:id="142"/>
      <w:r>
        <w:rPr>
          <w:rFonts w:hint="eastAsia" w:ascii="宋体" w:hAnsi="宋体" w:eastAsia="宋体" w:cs="宋体"/>
          <w:b/>
          <w:color w:val="000000"/>
          <w:sz w:val="21"/>
          <w:szCs w:val="21"/>
          <w:highlight w:val="none"/>
        </w:rPr>
        <w:t>七、授予合同</w:t>
      </w:r>
    </w:p>
    <w:p w14:paraId="2609B5CA">
      <w:pPr>
        <w:pStyle w:val="13"/>
        <w:keepNext/>
        <w:keepLines/>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sz w:val="21"/>
          <w:szCs w:val="21"/>
          <w:highlight w:val="none"/>
        </w:rPr>
      </w:pPr>
      <w:bookmarkStart w:id="143" w:name="_Toc20823309"/>
      <w:bookmarkEnd w:id="143"/>
      <w:bookmarkStart w:id="144" w:name="_Toc16938553"/>
      <w:bookmarkEnd w:id="144"/>
      <w:bookmarkStart w:id="145" w:name="_Toc513029237"/>
      <w:bookmarkEnd w:id="145"/>
      <w:r>
        <w:rPr>
          <w:rFonts w:hint="eastAsia" w:ascii="宋体" w:hAnsi="宋体" w:eastAsia="宋体" w:cs="宋体"/>
          <w:color w:val="000000"/>
          <w:sz w:val="21"/>
          <w:szCs w:val="21"/>
          <w:highlight w:val="none"/>
        </w:rPr>
        <w:t>30.签订合同</w:t>
      </w:r>
    </w:p>
    <w:p w14:paraId="0BDD8642">
      <w:pPr>
        <w:pStyle w:val="13"/>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30.l中标人应当在中标通知书发出之日起三十日内，按照招标文件确定的事项与采购人签订政府采购合同。</w:t>
      </w:r>
    </w:p>
    <w:p w14:paraId="7513AF4E">
      <w:pPr>
        <w:pStyle w:val="13"/>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30.2招标文件、中标人的投标文件及招标过程中有关澄清、承诺文件均应作为合同附件。</w:t>
      </w:r>
    </w:p>
    <w:p w14:paraId="118E378A">
      <w:pPr>
        <w:pStyle w:val="13"/>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30.3签订合同后，</w:t>
      </w:r>
      <w:r>
        <w:rPr>
          <w:rFonts w:hint="eastAsia" w:ascii="宋体" w:hAnsi="宋体" w:eastAsia="宋体" w:cs="宋体"/>
          <w:i/>
          <w:color w:val="000000"/>
          <w:sz w:val="21"/>
          <w:szCs w:val="21"/>
          <w:highlight w:val="none"/>
          <w:u w:val="single"/>
        </w:rPr>
        <w:t>中标人不得将合同标的进行转包</w:t>
      </w:r>
      <w:r>
        <w:rPr>
          <w:rFonts w:hint="eastAsia" w:ascii="宋体" w:hAnsi="宋体" w:eastAsia="宋体" w:cs="宋体"/>
          <w:color w:val="000000"/>
          <w:sz w:val="21"/>
          <w:szCs w:val="21"/>
          <w:highlight w:val="none"/>
        </w:rPr>
        <w:t>。未经采购人同意，中标人也不得采用分包的形式履行合同，否则采购人有权终止合同。转包或分包造成采购人损失的，中标人应承担相应赔偿责任。</w:t>
      </w:r>
    </w:p>
    <w:p w14:paraId="76548C54">
      <w:pPr>
        <w:pStyle w:val="13"/>
        <w:keepNext/>
        <w:keepLines/>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31、服务（包含与服务相关的货物）的追加</w:t>
      </w:r>
    </w:p>
    <w:p w14:paraId="5FE3A118">
      <w:pPr>
        <w:pStyle w:val="13"/>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6E80C262">
      <w:pPr>
        <w:pStyle w:val="13"/>
        <w:keepNext/>
        <w:keepLines/>
        <w:pageBreakBefore w:val="0"/>
        <w:kinsoku/>
        <w:wordWrap/>
        <w:overflowPunct/>
        <w:topLinePunct w:val="0"/>
        <w:autoSpaceDE/>
        <w:autoSpaceDN/>
        <w:bidi w:val="0"/>
        <w:adjustRightInd/>
        <w:snapToGrid/>
        <w:spacing w:beforeAutospacing="0" w:afterAutospacing="0" w:line="360" w:lineRule="auto"/>
        <w:ind w:firstLine="420" w:firstLineChars="20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32、政府采购</w:t>
      </w:r>
      <w:r>
        <w:rPr>
          <w:rFonts w:hint="eastAsia" w:ascii="宋体" w:hAnsi="宋体" w:eastAsia="宋体" w:cs="宋体"/>
          <w:color w:val="000000"/>
          <w:sz w:val="21"/>
          <w:szCs w:val="21"/>
          <w:highlight w:val="none"/>
          <w:lang w:eastAsia="zh-CN"/>
        </w:rPr>
        <w:t>线上合同信用融资</w:t>
      </w:r>
      <w:r>
        <w:rPr>
          <w:rFonts w:hint="eastAsia" w:ascii="宋体" w:hAnsi="宋体" w:eastAsia="宋体" w:cs="宋体"/>
          <w:color w:val="000000"/>
          <w:sz w:val="21"/>
          <w:szCs w:val="21"/>
          <w:highlight w:val="none"/>
        </w:rPr>
        <w:t>政策</w:t>
      </w:r>
    </w:p>
    <w:p w14:paraId="283335D9">
      <w:pPr>
        <w:pStyle w:val="13"/>
        <w:keepNext/>
        <w:pageBreakBefore w:val="0"/>
        <w:kinsoku/>
        <w:wordWrap/>
        <w:overflowPunct/>
        <w:topLinePunct w:val="0"/>
        <w:autoSpaceDE/>
        <w:autoSpaceDN/>
        <w:bidi w:val="0"/>
        <w:adjustRightInd/>
        <w:snapToGrid/>
        <w:spacing w:beforeAutospacing="0" w:afterAutospacing="0" w:line="360" w:lineRule="auto"/>
        <w:ind w:firstLine="420" w:firstLineChars="200"/>
        <w:rPr>
          <w:rFonts w:hint="eastAsia" w:ascii="宋体" w:hAnsi="宋体" w:eastAsia="宋体" w:cs="宋体"/>
          <w:sz w:val="21"/>
          <w:szCs w:val="21"/>
          <w:highlight w:val="none"/>
        </w:rPr>
      </w:pPr>
      <w:r>
        <w:rPr>
          <w:rFonts w:hint="eastAsia" w:cs="宋体"/>
          <w:color w:val="000000"/>
          <w:sz w:val="21"/>
          <w:szCs w:val="21"/>
          <w:highlight w:val="none"/>
          <w:lang w:val="en-US" w:eastAsia="zh-CN"/>
        </w:rPr>
        <w:t>32.1</w:t>
      </w:r>
      <w:r>
        <w:rPr>
          <w:rFonts w:hint="eastAsia" w:ascii="宋体" w:hAnsi="宋体" w:eastAsia="宋体" w:cs="宋体"/>
          <w:color w:val="000000"/>
          <w:sz w:val="21"/>
          <w:szCs w:val="21"/>
          <w:highlight w:val="none"/>
        </w:rPr>
        <w:t>根据《转发江苏省财政厅</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w:t>
      </w:r>
      <w:r>
        <w:rPr>
          <w:rFonts w:hint="eastAsia" w:ascii="宋体" w:hAnsi="宋体" w:eastAsia="宋体" w:cs="宋体"/>
          <w:sz w:val="21"/>
          <w:szCs w:val="21"/>
          <w:highlight w:val="none"/>
        </w:rPr>
        <w:t>具体操作流程请参考苏采云系统中供应商操作手册。 </w:t>
      </w:r>
    </w:p>
    <w:p w14:paraId="2C0CF247">
      <w:pPr>
        <w:pStyle w:val="13"/>
        <w:spacing w:beforeAutospacing="0" w:afterAutospacing="0" w:line="360" w:lineRule="auto"/>
        <w:ind w:firstLine="420"/>
        <w:jc w:val="both"/>
        <w:rPr>
          <w:rFonts w:hint="eastAsia" w:ascii="宋体" w:hAnsi="宋体" w:eastAsia="宋体" w:cs="宋体"/>
          <w:color w:val="auto"/>
          <w:sz w:val="21"/>
          <w:szCs w:val="21"/>
        </w:rPr>
      </w:pPr>
      <w:r>
        <w:rPr>
          <w:rFonts w:hint="eastAsia" w:ascii="宋体" w:hAnsi="宋体" w:eastAsia="宋体" w:cs="宋体"/>
          <w:color w:val="auto"/>
          <w:sz w:val="21"/>
          <w:szCs w:val="21"/>
        </w:rPr>
        <w:t>32.2进口产品</w:t>
      </w:r>
    </w:p>
    <w:p w14:paraId="07B767C9">
      <w:pPr>
        <w:pStyle w:val="13"/>
        <w:spacing w:beforeAutospacing="0" w:afterAutospacing="0" w:line="360" w:lineRule="auto"/>
        <w:ind w:firstLine="420"/>
        <w:jc w:val="both"/>
        <w:rPr>
          <w:rFonts w:hint="eastAsia" w:ascii="宋体" w:hAnsi="宋体" w:eastAsia="宋体" w:cs="宋体"/>
          <w:color w:val="auto"/>
          <w:sz w:val="21"/>
          <w:szCs w:val="21"/>
        </w:rPr>
      </w:pPr>
      <w:r>
        <w:rPr>
          <w:rFonts w:hint="eastAsia" w:ascii="宋体" w:hAnsi="宋体" w:eastAsia="宋体" w:cs="宋体"/>
          <w:color w:val="auto"/>
          <w:sz w:val="21"/>
          <w:szCs w:val="21"/>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22154344">
      <w:pPr>
        <w:pStyle w:val="13"/>
        <w:spacing w:beforeAutospacing="0" w:afterAutospacing="0" w:line="360" w:lineRule="auto"/>
        <w:ind w:firstLine="420"/>
        <w:jc w:val="both"/>
        <w:rPr>
          <w:rFonts w:hint="eastAsia" w:ascii="宋体" w:hAnsi="宋体" w:eastAsia="宋体" w:cs="宋体"/>
          <w:color w:val="auto"/>
          <w:sz w:val="21"/>
          <w:szCs w:val="21"/>
        </w:rPr>
      </w:pPr>
      <w:r>
        <w:rPr>
          <w:rFonts w:hint="eastAsia" w:ascii="宋体" w:hAnsi="宋体" w:eastAsia="宋体" w:cs="宋体"/>
          <w:color w:val="auto"/>
          <w:sz w:val="21"/>
          <w:szCs w:val="21"/>
        </w:rPr>
        <w:t>32.3中小企业、监狱企业及残疾人福利性单位</w:t>
      </w:r>
    </w:p>
    <w:p w14:paraId="24C258DA">
      <w:pPr>
        <w:pStyle w:val="13"/>
        <w:spacing w:beforeAutospacing="0" w:afterAutospacing="0" w:line="360" w:lineRule="auto"/>
        <w:ind w:firstLine="420"/>
        <w:jc w:val="both"/>
        <w:rPr>
          <w:rFonts w:hint="eastAsia" w:ascii="宋体" w:hAnsi="宋体" w:eastAsia="宋体" w:cs="宋体"/>
          <w:color w:val="auto"/>
          <w:sz w:val="21"/>
          <w:szCs w:val="21"/>
        </w:rPr>
      </w:pPr>
      <w:r>
        <w:rPr>
          <w:rFonts w:hint="eastAsia" w:ascii="宋体" w:hAnsi="宋体" w:eastAsia="宋体" w:cs="宋体"/>
          <w:color w:val="auto"/>
          <w:sz w:val="21"/>
          <w:szCs w:val="21"/>
        </w:rPr>
        <w:t>32.3.1中小企业定义：</w:t>
      </w:r>
    </w:p>
    <w:p w14:paraId="4ED7722B">
      <w:pPr>
        <w:pStyle w:val="13"/>
        <w:spacing w:beforeAutospacing="0" w:afterAutospacing="0" w:line="360" w:lineRule="auto"/>
        <w:ind w:firstLine="420"/>
        <w:jc w:val="both"/>
        <w:rPr>
          <w:rFonts w:hint="eastAsia" w:ascii="宋体" w:hAnsi="宋体" w:eastAsia="宋体" w:cs="宋体"/>
          <w:color w:val="auto"/>
          <w:sz w:val="21"/>
          <w:szCs w:val="21"/>
        </w:rPr>
      </w:pPr>
      <w:r>
        <w:rPr>
          <w:rFonts w:hint="eastAsia" w:ascii="宋体" w:hAnsi="宋体" w:eastAsia="宋体" w:cs="宋体"/>
          <w:color w:val="auto"/>
          <w:sz w:val="21"/>
          <w:szCs w:val="21"/>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3A43C6B2">
      <w:pPr>
        <w:pStyle w:val="13"/>
        <w:spacing w:beforeAutospacing="0" w:afterAutospacing="0" w:line="360" w:lineRule="auto"/>
        <w:ind w:firstLine="420"/>
        <w:jc w:val="both"/>
        <w:rPr>
          <w:rFonts w:hint="eastAsia" w:ascii="宋体" w:hAnsi="宋体" w:eastAsia="宋体" w:cs="宋体"/>
          <w:color w:val="auto"/>
          <w:sz w:val="21"/>
          <w:szCs w:val="21"/>
        </w:rPr>
      </w:pPr>
      <w:r>
        <w:rPr>
          <w:rFonts w:hint="eastAsia" w:ascii="宋体" w:hAnsi="宋体" w:eastAsia="宋体" w:cs="宋体"/>
          <w:color w:val="auto"/>
          <w:sz w:val="21"/>
          <w:szCs w:val="21"/>
        </w:rPr>
        <w:t>32.3.2供应商提供的货物、工程或者服务符合下列情形的，享受中小企业扶持政策：</w:t>
      </w:r>
    </w:p>
    <w:p w14:paraId="552A63CB">
      <w:pPr>
        <w:pStyle w:val="13"/>
        <w:spacing w:beforeAutospacing="0" w:afterAutospacing="0" w:line="360" w:lineRule="auto"/>
        <w:ind w:firstLine="420"/>
        <w:jc w:val="both"/>
        <w:rPr>
          <w:rFonts w:hint="eastAsia" w:ascii="宋体" w:hAnsi="宋体" w:eastAsia="宋体" w:cs="宋体"/>
          <w:color w:val="auto"/>
          <w:sz w:val="21"/>
          <w:szCs w:val="21"/>
        </w:rPr>
      </w:pPr>
      <w:r>
        <w:rPr>
          <w:rFonts w:hint="eastAsia" w:ascii="宋体" w:hAnsi="宋体" w:eastAsia="宋体" w:cs="宋体"/>
          <w:color w:val="auto"/>
          <w:sz w:val="21"/>
          <w:szCs w:val="21"/>
        </w:rPr>
        <w:t>32.3.2.1在货物采购项目中，货物由中小企业制造，即货物由中小企业生产且使用该中小企业商号或者注册商标；</w:t>
      </w:r>
    </w:p>
    <w:p w14:paraId="56434760">
      <w:pPr>
        <w:pStyle w:val="13"/>
        <w:spacing w:beforeAutospacing="0" w:afterAutospacing="0" w:line="360" w:lineRule="auto"/>
        <w:ind w:firstLine="420"/>
        <w:jc w:val="both"/>
        <w:rPr>
          <w:rFonts w:hint="eastAsia" w:ascii="宋体" w:hAnsi="宋体" w:eastAsia="宋体" w:cs="宋体"/>
          <w:color w:val="auto"/>
          <w:sz w:val="21"/>
          <w:szCs w:val="21"/>
        </w:rPr>
      </w:pPr>
      <w:r>
        <w:rPr>
          <w:rFonts w:hint="eastAsia" w:ascii="宋体" w:hAnsi="宋体" w:eastAsia="宋体" w:cs="宋体"/>
          <w:color w:val="auto"/>
          <w:sz w:val="21"/>
          <w:szCs w:val="21"/>
        </w:rPr>
        <w:t>32.3.2.2在工程采购项目中，工程由中小企业承建，即工程施工单位为中小企业；</w:t>
      </w:r>
    </w:p>
    <w:p w14:paraId="6E16058A">
      <w:pPr>
        <w:pStyle w:val="13"/>
        <w:spacing w:beforeAutospacing="0" w:afterAutospacing="0" w:line="360" w:lineRule="auto"/>
        <w:ind w:firstLine="420"/>
        <w:jc w:val="both"/>
        <w:rPr>
          <w:rFonts w:hint="eastAsia" w:ascii="宋体" w:hAnsi="宋体" w:eastAsia="宋体" w:cs="宋体"/>
          <w:color w:val="auto"/>
          <w:sz w:val="21"/>
          <w:szCs w:val="21"/>
        </w:rPr>
      </w:pPr>
      <w:r>
        <w:rPr>
          <w:rFonts w:hint="eastAsia" w:ascii="宋体" w:hAnsi="宋体" w:eastAsia="宋体" w:cs="宋体"/>
          <w:color w:val="auto"/>
          <w:sz w:val="21"/>
          <w:szCs w:val="21"/>
        </w:rPr>
        <w:t>32.3.2.3在服务采购项目中，服务由中小企业承接，即提供服务的人员为中小企业依照《中华人民共和国劳动合同法》订立劳动合同的从业人员。</w:t>
      </w:r>
    </w:p>
    <w:p w14:paraId="5DDF6CE7">
      <w:pPr>
        <w:pStyle w:val="13"/>
        <w:spacing w:beforeAutospacing="0" w:afterAutospacing="0" w:line="360" w:lineRule="auto"/>
        <w:ind w:firstLine="420"/>
        <w:jc w:val="both"/>
        <w:rPr>
          <w:rFonts w:hint="eastAsia" w:ascii="宋体" w:hAnsi="宋体" w:eastAsia="宋体" w:cs="宋体"/>
          <w:color w:val="auto"/>
          <w:sz w:val="21"/>
          <w:szCs w:val="21"/>
        </w:rPr>
      </w:pPr>
      <w:r>
        <w:rPr>
          <w:rFonts w:hint="eastAsia" w:ascii="宋体" w:hAnsi="宋体" w:eastAsia="宋体" w:cs="宋体"/>
          <w:color w:val="auto"/>
          <w:sz w:val="21"/>
          <w:szCs w:val="21"/>
        </w:rPr>
        <w:t>32.3.3在货物采购项目中，供应商提供的货物既有中小企业制造货物，也有大型企业制造货物的，不享受中小企业扶持政策。</w:t>
      </w:r>
    </w:p>
    <w:p w14:paraId="5F61B7CD">
      <w:pPr>
        <w:pStyle w:val="13"/>
        <w:spacing w:beforeAutospacing="0" w:afterAutospacing="0" w:line="360" w:lineRule="auto"/>
        <w:ind w:firstLine="420"/>
        <w:jc w:val="both"/>
        <w:rPr>
          <w:rFonts w:hint="eastAsia" w:ascii="宋体" w:hAnsi="宋体" w:eastAsia="宋体" w:cs="宋体"/>
          <w:color w:val="auto"/>
          <w:sz w:val="21"/>
          <w:szCs w:val="21"/>
        </w:rPr>
      </w:pPr>
      <w:r>
        <w:rPr>
          <w:rFonts w:hint="eastAsia" w:ascii="宋体" w:hAnsi="宋体" w:eastAsia="宋体" w:cs="宋体"/>
          <w:color w:val="auto"/>
          <w:sz w:val="21"/>
          <w:szCs w:val="21"/>
        </w:rPr>
        <w:t>32.3.4以联合体形式参加政府采购活动，联合体各方均为中小企业的，联合体视同中小企业。其中，联合体各方均为小微企业的，联合体视同小微企业。</w:t>
      </w:r>
    </w:p>
    <w:p w14:paraId="42D5242A">
      <w:pPr>
        <w:pStyle w:val="13"/>
        <w:spacing w:beforeAutospacing="0" w:afterAutospacing="0" w:line="360" w:lineRule="auto"/>
        <w:ind w:firstLine="420"/>
        <w:jc w:val="both"/>
        <w:rPr>
          <w:rFonts w:hint="eastAsia" w:ascii="宋体" w:hAnsi="宋体" w:eastAsia="宋体" w:cs="宋体"/>
          <w:color w:val="auto"/>
          <w:sz w:val="21"/>
          <w:szCs w:val="21"/>
        </w:rPr>
      </w:pPr>
      <w:r>
        <w:rPr>
          <w:rFonts w:hint="eastAsia" w:ascii="宋体" w:hAnsi="宋体" w:eastAsia="宋体" w:cs="宋体"/>
          <w:color w:val="auto"/>
          <w:sz w:val="21"/>
          <w:szCs w:val="21"/>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5D9404B">
      <w:pPr>
        <w:pStyle w:val="13"/>
        <w:spacing w:beforeAutospacing="0" w:afterAutospacing="0" w:line="360" w:lineRule="auto"/>
        <w:ind w:firstLine="420"/>
        <w:jc w:val="both"/>
        <w:rPr>
          <w:rFonts w:hint="eastAsia" w:ascii="宋体" w:hAnsi="宋体" w:eastAsia="宋体" w:cs="宋体"/>
          <w:color w:val="auto"/>
          <w:sz w:val="21"/>
          <w:szCs w:val="21"/>
        </w:rPr>
      </w:pPr>
      <w:r>
        <w:rPr>
          <w:rFonts w:hint="eastAsia" w:ascii="宋体" w:hAnsi="宋体" w:eastAsia="宋体" w:cs="宋体"/>
          <w:color w:val="auto"/>
          <w:sz w:val="21"/>
          <w:szCs w:val="21"/>
        </w:rPr>
        <w:t>32.3.6残疾人福利单位定义：享受政府采购支持政策的残疾人福利性单位应当同时满足以下条件：</w:t>
      </w:r>
    </w:p>
    <w:p w14:paraId="7A843956">
      <w:pPr>
        <w:pStyle w:val="13"/>
        <w:spacing w:beforeAutospacing="0" w:afterAutospacing="0" w:line="360" w:lineRule="auto"/>
        <w:ind w:firstLine="420"/>
        <w:jc w:val="both"/>
        <w:rPr>
          <w:rFonts w:hint="eastAsia" w:ascii="宋体" w:hAnsi="宋体" w:eastAsia="宋体" w:cs="宋体"/>
          <w:color w:val="auto"/>
          <w:sz w:val="21"/>
          <w:szCs w:val="21"/>
        </w:rPr>
      </w:pPr>
      <w:r>
        <w:rPr>
          <w:rFonts w:hint="eastAsia" w:ascii="宋体" w:hAnsi="宋体" w:eastAsia="宋体" w:cs="宋体"/>
          <w:color w:val="auto"/>
          <w:sz w:val="21"/>
          <w:szCs w:val="21"/>
        </w:rPr>
        <w:t>32.3.6.1安置的残疾人占本单位在职职工人数的比例不低于25%（含25%），并且安置的残疾人人数不少于10 人（含10 人）；</w:t>
      </w:r>
    </w:p>
    <w:p w14:paraId="3D988C02">
      <w:pPr>
        <w:pStyle w:val="13"/>
        <w:spacing w:beforeAutospacing="0" w:afterAutospacing="0" w:line="360" w:lineRule="auto"/>
        <w:ind w:firstLine="420"/>
        <w:jc w:val="both"/>
        <w:rPr>
          <w:rFonts w:hint="eastAsia" w:ascii="宋体" w:hAnsi="宋体" w:eastAsia="宋体" w:cs="宋体"/>
          <w:color w:val="auto"/>
          <w:sz w:val="21"/>
          <w:szCs w:val="21"/>
        </w:rPr>
      </w:pPr>
      <w:r>
        <w:rPr>
          <w:rFonts w:hint="eastAsia" w:ascii="宋体" w:hAnsi="宋体" w:eastAsia="宋体" w:cs="宋体"/>
          <w:color w:val="auto"/>
          <w:sz w:val="21"/>
          <w:szCs w:val="21"/>
        </w:rPr>
        <w:t>32.3.6.2依法与安置的每位残疾人签订了一年以上（含一年）的劳动合同或服务协议；</w:t>
      </w:r>
    </w:p>
    <w:p w14:paraId="203FF4A2">
      <w:pPr>
        <w:pStyle w:val="13"/>
        <w:spacing w:beforeAutospacing="0" w:afterAutospacing="0" w:line="360" w:lineRule="auto"/>
        <w:ind w:firstLine="420"/>
        <w:jc w:val="both"/>
        <w:rPr>
          <w:rFonts w:hint="eastAsia" w:ascii="宋体" w:hAnsi="宋体" w:eastAsia="宋体" w:cs="宋体"/>
          <w:color w:val="auto"/>
          <w:sz w:val="21"/>
          <w:szCs w:val="21"/>
        </w:rPr>
      </w:pPr>
      <w:r>
        <w:rPr>
          <w:rFonts w:hint="eastAsia" w:ascii="宋体" w:hAnsi="宋体" w:eastAsia="宋体" w:cs="宋体"/>
          <w:color w:val="auto"/>
          <w:sz w:val="21"/>
          <w:szCs w:val="21"/>
        </w:rPr>
        <w:t>32.3.6.3为安置的每位残疾人按月足额缴纳了基本养老保险、基本医疗保险、失业保险、工伤保险和生育保险等社会保险费；</w:t>
      </w:r>
    </w:p>
    <w:p w14:paraId="50989E67">
      <w:pPr>
        <w:pStyle w:val="13"/>
        <w:spacing w:beforeAutospacing="0" w:afterAutospacing="0" w:line="360" w:lineRule="auto"/>
        <w:ind w:firstLine="420"/>
        <w:jc w:val="both"/>
        <w:rPr>
          <w:rFonts w:hint="eastAsia" w:ascii="宋体" w:hAnsi="宋体" w:eastAsia="宋体" w:cs="宋体"/>
          <w:color w:val="auto"/>
          <w:sz w:val="21"/>
          <w:szCs w:val="21"/>
        </w:rPr>
      </w:pPr>
      <w:r>
        <w:rPr>
          <w:rFonts w:hint="eastAsia" w:ascii="宋体" w:hAnsi="宋体" w:eastAsia="宋体" w:cs="宋体"/>
          <w:color w:val="auto"/>
          <w:sz w:val="21"/>
          <w:szCs w:val="21"/>
        </w:rPr>
        <w:t>32.3.6.4通过银行等金融机构向安置的每位残疾人，按月支付了不低于单位所在区县适用的经省级人民政府批准的月最低工资标准的工资；</w:t>
      </w:r>
    </w:p>
    <w:p w14:paraId="0A01AE10">
      <w:pPr>
        <w:pStyle w:val="13"/>
        <w:spacing w:beforeAutospacing="0" w:afterAutospacing="0" w:line="360" w:lineRule="auto"/>
        <w:ind w:firstLine="420"/>
        <w:jc w:val="both"/>
        <w:rPr>
          <w:rFonts w:hint="eastAsia" w:ascii="宋体" w:hAnsi="宋体" w:eastAsia="宋体" w:cs="宋体"/>
          <w:color w:val="auto"/>
          <w:sz w:val="21"/>
          <w:szCs w:val="21"/>
        </w:rPr>
      </w:pPr>
      <w:r>
        <w:rPr>
          <w:rFonts w:hint="eastAsia" w:ascii="宋体" w:hAnsi="宋体" w:eastAsia="宋体" w:cs="宋体"/>
          <w:color w:val="auto"/>
          <w:sz w:val="21"/>
          <w:szCs w:val="21"/>
        </w:rPr>
        <w:t>33.3.6.5提供本单位制造的货物、承担的工程或者服务（以下简称产品），或者提供其他残疾人福利性单位制造的货物（不包括使用非残疾人福利性单位注册商标的货物）；</w:t>
      </w:r>
    </w:p>
    <w:p w14:paraId="7D7F4AB7">
      <w:pPr>
        <w:pStyle w:val="13"/>
        <w:spacing w:beforeAutospacing="0" w:afterAutospacing="0" w:line="360" w:lineRule="auto"/>
        <w:ind w:firstLine="420"/>
        <w:jc w:val="both"/>
        <w:rPr>
          <w:rFonts w:hint="eastAsia" w:ascii="宋体" w:hAnsi="宋体" w:eastAsia="宋体" w:cs="宋体"/>
          <w:color w:val="auto"/>
          <w:sz w:val="21"/>
          <w:szCs w:val="21"/>
        </w:rPr>
      </w:pPr>
      <w:r>
        <w:rPr>
          <w:rFonts w:hint="eastAsia" w:ascii="宋体" w:hAnsi="宋体" w:eastAsia="宋体" w:cs="宋体"/>
          <w:color w:val="auto"/>
          <w:sz w:val="21"/>
          <w:szCs w:val="21"/>
        </w:rPr>
        <w:t>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17624372">
      <w:pPr>
        <w:pStyle w:val="13"/>
        <w:spacing w:beforeAutospacing="0" w:afterAutospacing="0" w:line="360" w:lineRule="auto"/>
        <w:ind w:firstLine="420"/>
        <w:jc w:val="both"/>
        <w:rPr>
          <w:rFonts w:hint="eastAsia" w:ascii="宋体" w:hAnsi="宋体" w:eastAsia="宋体" w:cs="宋体"/>
          <w:color w:val="auto"/>
          <w:sz w:val="21"/>
          <w:szCs w:val="21"/>
        </w:rPr>
      </w:pPr>
      <w:r>
        <w:rPr>
          <w:rFonts w:hint="eastAsia" w:ascii="宋体" w:hAnsi="宋体" w:eastAsia="宋体" w:cs="宋体"/>
          <w:color w:val="auto"/>
          <w:sz w:val="21"/>
          <w:szCs w:val="21"/>
        </w:rPr>
        <w:t>32.3.7本项目是否专门面向中小企业预留采购份额见第一章《招标公告》。</w:t>
      </w:r>
    </w:p>
    <w:p w14:paraId="2FC234B9">
      <w:pPr>
        <w:pStyle w:val="13"/>
        <w:spacing w:beforeAutospacing="0" w:afterAutospacing="0" w:line="360" w:lineRule="auto"/>
        <w:ind w:firstLine="420"/>
        <w:jc w:val="both"/>
        <w:rPr>
          <w:rFonts w:hint="eastAsia" w:ascii="宋体" w:hAnsi="宋体" w:eastAsia="宋体" w:cs="宋体"/>
          <w:color w:val="auto"/>
          <w:sz w:val="21"/>
          <w:szCs w:val="21"/>
        </w:rPr>
      </w:pPr>
      <w:r>
        <w:rPr>
          <w:rFonts w:hint="eastAsia" w:ascii="宋体" w:hAnsi="宋体" w:eastAsia="宋体" w:cs="宋体"/>
          <w:color w:val="auto"/>
          <w:sz w:val="21"/>
          <w:szCs w:val="21"/>
        </w:rPr>
        <w:t>32.3.8采购标的对应的中小企业划分标准所属行业见第四章《采购需求》。</w:t>
      </w:r>
    </w:p>
    <w:p w14:paraId="486D5B8C">
      <w:pPr>
        <w:pStyle w:val="13"/>
        <w:spacing w:beforeAutospacing="0" w:afterAutospacing="0" w:line="360" w:lineRule="auto"/>
        <w:ind w:firstLine="420"/>
        <w:jc w:val="both"/>
        <w:rPr>
          <w:rFonts w:hint="eastAsia" w:ascii="宋体" w:hAnsi="宋体" w:eastAsia="宋体" w:cs="宋体"/>
          <w:color w:val="auto"/>
          <w:sz w:val="21"/>
          <w:szCs w:val="21"/>
        </w:rPr>
      </w:pPr>
      <w:r>
        <w:rPr>
          <w:rFonts w:hint="eastAsia" w:ascii="宋体" w:hAnsi="宋体" w:eastAsia="宋体" w:cs="宋体"/>
          <w:color w:val="auto"/>
          <w:sz w:val="21"/>
          <w:szCs w:val="21"/>
        </w:rPr>
        <w:t>32.3.9小微企业价格评审优惠的政策：见第五章《评标方法和评标标准》。</w:t>
      </w:r>
    </w:p>
    <w:p w14:paraId="265DE87F">
      <w:pPr>
        <w:pStyle w:val="13"/>
        <w:spacing w:beforeAutospacing="0" w:afterAutospacing="0" w:line="360" w:lineRule="auto"/>
        <w:ind w:firstLine="420"/>
        <w:jc w:val="both"/>
        <w:rPr>
          <w:rFonts w:hint="eastAsia" w:ascii="宋体" w:hAnsi="宋体" w:eastAsia="宋体" w:cs="宋体"/>
          <w:color w:val="auto"/>
          <w:sz w:val="21"/>
          <w:szCs w:val="21"/>
        </w:rPr>
      </w:pPr>
      <w:r>
        <w:rPr>
          <w:rFonts w:hint="eastAsia" w:ascii="宋体" w:hAnsi="宋体" w:eastAsia="宋体" w:cs="宋体"/>
          <w:color w:val="auto"/>
          <w:sz w:val="21"/>
          <w:szCs w:val="21"/>
        </w:rPr>
        <w:t>32.4政府采购节能产品、环境标志产品</w:t>
      </w:r>
    </w:p>
    <w:p w14:paraId="7BAD136B">
      <w:pPr>
        <w:pStyle w:val="13"/>
        <w:spacing w:beforeAutospacing="0" w:afterAutospacing="0" w:line="360" w:lineRule="auto"/>
        <w:ind w:firstLine="420"/>
        <w:jc w:val="both"/>
        <w:rPr>
          <w:rFonts w:hint="eastAsia" w:ascii="宋体" w:hAnsi="宋体" w:eastAsia="宋体" w:cs="宋体"/>
          <w:color w:val="auto"/>
          <w:sz w:val="21"/>
          <w:szCs w:val="21"/>
        </w:rPr>
      </w:pPr>
      <w:r>
        <w:rPr>
          <w:rFonts w:hint="eastAsia" w:ascii="宋体" w:hAnsi="宋体" w:eastAsia="宋体" w:cs="宋体"/>
          <w:color w:val="auto"/>
          <w:sz w:val="21"/>
          <w:szCs w:val="21"/>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39CEF46C">
      <w:pPr>
        <w:pStyle w:val="13"/>
        <w:spacing w:beforeAutospacing="0" w:afterAutospacing="0" w:line="360" w:lineRule="auto"/>
        <w:ind w:firstLine="420"/>
        <w:jc w:val="both"/>
        <w:rPr>
          <w:rFonts w:hint="eastAsia" w:ascii="宋体" w:hAnsi="宋体" w:eastAsia="宋体" w:cs="宋体"/>
          <w:color w:val="auto"/>
          <w:sz w:val="21"/>
          <w:szCs w:val="21"/>
        </w:rPr>
      </w:pPr>
      <w:r>
        <w:rPr>
          <w:rFonts w:hint="eastAsia" w:ascii="宋体" w:hAnsi="宋体" w:eastAsia="宋体" w:cs="宋体"/>
          <w:color w:val="auto"/>
          <w:sz w:val="21"/>
          <w:szCs w:val="21"/>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53839326">
      <w:pPr>
        <w:pStyle w:val="13"/>
        <w:spacing w:beforeAutospacing="0" w:afterAutospacing="0" w:line="360" w:lineRule="auto"/>
        <w:ind w:firstLine="420"/>
        <w:jc w:val="both"/>
        <w:rPr>
          <w:rFonts w:hint="eastAsia" w:ascii="宋体" w:hAnsi="宋体" w:eastAsia="宋体" w:cs="宋体"/>
          <w:color w:val="auto"/>
          <w:sz w:val="21"/>
          <w:szCs w:val="21"/>
        </w:rPr>
      </w:pPr>
      <w:r>
        <w:rPr>
          <w:rFonts w:hint="eastAsia" w:ascii="宋体" w:hAnsi="宋体" w:eastAsia="宋体" w:cs="宋体"/>
          <w:color w:val="auto"/>
          <w:sz w:val="21"/>
          <w:szCs w:val="21"/>
        </w:rPr>
        <w:t>32.5绿色包装</w:t>
      </w:r>
    </w:p>
    <w:p w14:paraId="79B0F051">
      <w:pPr>
        <w:pStyle w:val="13"/>
        <w:spacing w:beforeAutospacing="0" w:afterAutospacing="0" w:line="360" w:lineRule="auto"/>
        <w:ind w:firstLine="420"/>
        <w:jc w:val="both"/>
        <w:rPr>
          <w:rFonts w:hint="eastAsia" w:ascii="宋体" w:hAnsi="宋体" w:eastAsia="宋体" w:cs="宋体"/>
          <w:color w:val="auto"/>
          <w:sz w:val="21"/>
          <w:szCs w:val="21"/>
        </w:rPr>
      </w:pPr>
      <w:r>
        <w:rPr>
          <w:rFonts w:hint="eastAsia" w:ascii="宋体" w:hAnsi="宋体" w:eastAsia="宋体" w:cs="宋体"/>
          <w:color w:val="auto"/>
          <w:sz w:val="21"/>
          <w:szCs w:val="21"/>
        </w:rPr>
        <w:t>本项目中涉及商品的包装应按照“财办库〔2020〕123号《关于印发《商品包装政府采购需求标准（试行）》、《快递包装政府采购需求标准（试行）》的通知》”执行,在供货、安装过程中能做到低碳物流、环保节约、提高资源利用率。</w:t>
      </w:r>
    </w:p>
    <w:p w14:paraId="140059A0">
      <w:pPr>
        <w:pStyle w:val="13"/>
        <w:spacing w:beforeAutospacing="0" w:afterAutospacing="0" w:line="360" w:lineRule="auto"/>
        <w:ind w:firstLine="420"/>
        <w:jc w:val="both"/>
        <w:rPr>
          <w:rFonts w:hint="eastAsia" w:ascii="宋体" w:hAnsi="宋体" w:eastAsia="宋体" w:cs="宋体"/>
          <w:color w:val="auto"/>
          <w:sz w:val="21"/>
          <w:szCs w:val="21"/>
        </w:rPr>
      </w:pPr>
      <w:r>
        <w:rPr>
          <w:rFonts w:hint="eastAsia" w:ascii="宋体" w:hAnsi="宋体" w:eastAsia="宋体" w:cs="宋体"/>
          <w:color w:val="auto"/>
          <w:sz w:val="21"/>
          <w:szCs w:val="21"/>
        </w:rPr>
        <w:t>32.6政府采购创新产品</w:t>
      </w:r>
    </w:p>
    <w:p w14:paraId="6C7B0EE3">
      <w:pPr>
        <w:pStyle w:val="13"/>
        <w:spacing w:beforeAutospacing="0" w:afterAutospacing="0" w:line="360" w:lineRule="auto"/>
        <w:ind w:firstLine="420"/>
        <w:jc w:val="both"/>
        <w:rPr>
          <w:rFonts w:hint="eastAsia" w:ascii="宋体" w:hAnsi="宋体" w:eastAsia="宋体" w:cs="宋体"/>
          <w:color w:val="auto"/>
          <w:sz w:val="21"/>
          <w:szCs w:val="21"/>
        </w:rPr>
      </w:pPr>
      <w:r>
        <w:rPr>
          <w:rFonts w:hint="eastAsia" w:ascii="宋体" w:hAnsi="宋体" w:eastAsia="宋体" w:cs="宋体"/>
          <w:color w:val="auto"/>
          <w:sz w:val="21"/>
          <w:szCs w:val="21"/>
        </w:rPr>
        <w:t>采购人优先采购各级政府部门公开发布的有效期内的创新产品、创新服务、首台套、首购首用等《目录》的创新产品。</w:t>
      </w:r>
    </w:p>
    <w:p w14:paraId="47F70A68">
      <w:pPr>
        <w:pStyle w:val="13"/>
        <w:spacing w:beforeAutospacing="0" w:afterAutospacing="0" w:line="360" w:lineRule="auto"/>
        <w:ind w:firstLine="420"/>
        <w:jc w:val="both"/>
        <w:rPr>
          <w:rFonts w:hint="eastAsia" w:ascii="宋体" w:hAnsi="宋体" w:eastAsia="宋体" w:cs="宋体"/>
          <w:color w:val="auto"/>
          <w:sz w:val="21"/>
          <w:szCs w:val="21"/>
        </w:rPr>
      </w:pPr>
      <w:r>
        <w:rPr>
          <w:rFonts w:hint="eastAsia" w:ascii="宋体" w:hAnsi="宋体" w:eastAsia="宋体" w:cs="宋体"/>
          <w:color w:val="auto"/>
          <w:sz w:val="21"/>
          <w:szCs w:val="21"/>
        </w:rPr>
        <w:t xml:space="preserve">32.7绿色数据中心政策 </w:t>
      </w:r>
    </w:p>
    <w:p w14:paraId="6B572001">
      <w:pPr>
        <w:pStyle w:val="13"/>
        <w:spacing w:beforeAutospacing="0" w:afterAutospacing="0" w:line="360" w:lineRule="auto"/>
        <w:ind w:firstLine="420"/>
        <w:jc w:val="both"/>
        <w:rPr>
          <w:rFonts w:hint="eastAsia" w:ascii="宋体" w:hAnsi="宋体" w:eastAsia="宋体" w:cs="宋体"/>
          <w:color w:val="auto"/>
          <w:sz w:val="21"/>
          <w:szCs w:val="21"/>
        </w:rPr>
      </w:pPr>
      <w:r>
        <w:rPr>
          <w:rFonts w:hint="eastAsia" w:ascii="宋体" w:hAnsi="宋体" w:eastAsia="宋体" w:cs="宋体"/>
          <w:color w:val="auto"/>
          <w:sz w:val="21"/>
          <w:szCs w:val="21"/>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0873B99B">
      <w:pPr>
        <w:pStyle w:val="13"/>
        <w:spacing w:beforeAutospacing="0" w:afterAutospacing="0" w:line="360" w:lineRule="auto"/>
        <w:ind w:firstLine="420"/>
        <w:jc w:val="both"/>
        <w:rPr>
          <w:rFonts w:hint="eastAsia" w:ascii="宋体" w:hAnsi="宋体" w:eastAsia="宋体" w:cs="宋体"/>
          <w:color w:val="auto"/>
          <w:sz w:val="21"/>
          <w:szCs w:val="21"/>
        </w:rPr>
      </w:pPr>
      <w:r>
        <w:rPr>
          <w:rFonts w:hint="eastAsia" w:ascii="宋体" w:hAnsi="宋体" w:eastAsia="宋体" w:cs="宋体"/>
          <w:color w:val="auto"/>
          <w:sz w:val="21"/>
          <w:szCs w:val="21"/>
        </w:rPr>
        <w:t>32.8履约保证金政策</w:t>
      </w:r>
    </w:p>
    <w:p w14:paraId="5AA430DF">
      <w:pPr>
        <w:pStyle w:val="13"/>
        <w:spacing w:beforeAutospacing="0" w:afterAutospacing="0" w:line="360" w:lineRule="auto"/>
        <w:ind w:firstLine="420"/>
        <w:jc w:val="both"/>
        <w:rPr>
          <w:rFonts w:hint="eastAsia" w:ascii="宋体" w:hAnsi="宋体" w:eastAsia="宋体" w:cs="宋体"/>
          <w:color w:val="auto"/>
          <w:sz w:val="21"/>
          <w:szCs w:val="21"/>
        </w:rPr>
      </w:pPr>
      <w:r>
        <w:rPr>
          <w:rFonts w:hint="eastAsia" w:ascii="宋体" w:hAnsi="宋体" w:eastAsia="宋体" w:cs="宋体"/>
          <w:color w:val="auto"/>
          <w:sz w:val="21"/>
          <w:szCs w:val="21"/>
        </w:rPr>
        <w:t>确需收取履约保证金的，履约保证金的缴纳形式：</w:t>
      </w:r>
    </w:p>
    <w:p w14:paraId="67F3B260">
      <w:pPr>
        <w:pStyle w:val="13"/>
        <w:spacing w:beforeAutospacing="0" w:afterAutospacing="0" w:line="360" w:lineRule="auto"/>
        <w:ind w:firstLine="420"/>
        <w:jc w:val="both"/>
        <w:rPr>
          <w:rFonts w:hint="eastAsia" w:ascii="宋体" w:hAnsi="宋体" w:eastAsia="宋体" w:cs="宋体"/>
          <w:color w:val="auto"/>
          <w:sz w:val="21"/>
          <w:szCs w:val="21"/>
        </w:rPr>
      </w:pPr>
      <w:r>
        <w:rPr>
          <w:rFonts w:hint="eastAsia" w:ascii="宋体" w:hAnsi="宋体" w:eastAsia="宋体" w:cs="宋体"/>
          <w:color w:val="auto"/>
          <w:sz w:val="21"/>
          <w:szCs w:val="21"/>
          <w:highlight w:val="none"/>
        </w:rPr>
        <w:t>供应商应当以现金（转账）或者投标人基本账户缴纳的担保机构保函、保险机构保单等非现金交易担保方式提交履约保证金。依据《关于在全省政府采购领域推行电子履约保函（保险）的通知》，鼓励供应商自愿使用电子履约保函（保险）代替</w:t>
      </w:r>
      <w:r>
        <w:rPr>
          <w:rFonts w:hint="eastAsia" w:ascii="宋体" w:hAnsi="宋体" w:eastAsia="宋体" w:cs="宋体"/>
          <w:color w:val="auto"/>
          <w:sz w:val="21"/>
          <w:szCs w:val="21"/>
        </w:rPr>
        <w:t>缴纳履约保证金。</w:t>
      </w:r>
    </w:p>
    <w:p w14:paraId="0B0F0523">
      <w:pPr>
        <w:pStyle w:val="13"/>
        <w:spacing w:beforeAutospacing="0" w:afterAutospacing="0" w:line="360" w:lineRule="auto"/>
        <w:ind w:firstLine="420"/>
        <w:jc w:val="both"/>
        <w:rPr>
          <w:rFonts w:hint="eastAsia" w:ascii="宋体" w:hAnsi="宋体" w:eastAsia="宋体" w:cs="宋体"/>
          <w:color w:val="auto"/>
          <w:sz w:val="21"/>
          <w:szCs w:val="21"/>
        </w:rPr>
      </w:pPr>
      <w:r>
        <w:rPr>
          <w:rFonts w:hint="eastAsia" w:ascii="宋体" w:hAnsi="宋体" w:eastAsia="宋体" w:cs="宋体"/>
          <w:color w:val="auto"/>
          <w:sz w:val="21"/>
          <w:szCs w:val="21"/>
        </w:rPr>
        <w:t xml:space="preserve"> 如以履约保函（保险）形式缴纳履约保证金，供应商可通过政府采购电子履约保函（保险）平台（www.jsdzbh.com）在线申请履约保函（保险）。</w:t>
      </w:r>
    </w:p>
    <w:p w14:paraId="5A44D7A5">
      <w:pPr>
        <w:pStyle w:val="13"/>
        <w:spacing w:beforeAutospacing="0" w:afterAutospacing="0" w:line="360" w:lineRule="auto"/>
        <w:ind w:firstLine="420"/>
        <w:jc w:val="both"/>
        <w:rPr>
          <w:rFonts w:hint="eastAsia" w:ascii="宋体" w:hAnsi="宋体" w:eastAsia="宋体" w:cs="宋体"/>
          <w:color w:val="auto"/>
          <w:sz w:val="21"/>
          <w:szCs w:val="21"/>
        </w:rPr>
      </w:pPr>
      <w:r>
        <w:rPr>
          <w:rFonts w:hint="eastAsia" w:ascii="宋体" w:hAnsi="宋体" w:eastAsia="宋体" w:cs="宋体"/>
          <w:color w:val="auto"/>
          <w:sz w:val="21"/>
          <w:szCs w:val="21"/>
        </w:rPr>
        <w:t>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p>
    <w:p w14:paraId="1E11BD2B">
      <w:pPr>
        <w:pStyle w:val="13"/>
        <w:spacing w:beforeAutospacing="0" w:afterAutospacing="0" w:line="360" w:lineRule="auto"/>
        <w:ind w:firstLine="420"/>
        <w:jc w:val="both"/>
        <w:rPr>
          <w:rFonts w:hint="eastAsia" w:ascii="宋体" w:hAnsi="宋体" w:eastAsia="宋体" w:cs="宋体"/>
          <w:color w:val="auto"/>
          <w:sz w:val="21"/>
          <w:szCs w:val="21"/>
        </w:rPr>
      </w:pPr>
      <w:r>
        <w:rPr>
          <w:rFonts w:hint="eastAsia" w:ascii="宋体" w:hAnsi="宋体" w:eastAsia="宋体" w:cs="宋体"/>
          <w:color w:val="auto"/>
          <w:sz w:val="21"/>
          <w:szCs w:val="21"/>
        </w:rPr>
        <w:t>33. 预付款制度</w:t>
      </w:r>
    </w:p>
    <w:p w14:paraId="2992E780">
      <w:pPr>
        <w:pStyle w:val="13"/>
        <w:spacing w:beforeAutospacing="0" w:afterAutospacing="0"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本项目落实预付款制度，预付款比例为</w:t>
      </w:r>
      <w:r>
        <w:rPr>
          <w:rFonts w:hint="eastAsia" w:cs="宋体"/>
          <w:color w:val="auto"/>
          <w:sz w:val="21"/>
          <w:szCs w:val="21"/>
          <w:highlight w:val="none"/>
          <w:u w:val="single"/>
          <w:lang w:val="en-US" w:eastAsia="zh-CN"/>
        </w:rPr>
        <w:t xml:space="preserve"> 30 </w:t>
      </w:r>
      <w:r>
        <w:rPr>
          <w:rFonts w:hint="eastAsia" w:ascii="宋体" w:hAnsi="宋体" w:eastAsia="宋体" w:cs="宋体"/>
          <w:color w:val="auto"/>
          <w:sz w:val="21"/>
          <w:szCs w:val="21"/>
          <w:highlight w:val="none"/>
        </w:rPr>
        <w:t>%（待区财政资金到位后再拨付预付款）。在签订合同时，中标、成交供应商明确书面表示无需预付款或者主动要求降低预付款比例的，采购人可就预付款比例作相应调整。</w:t>
      </w:r>
    </w:p>
    <w:p w14:paraId="524E1A1A">
      <w:pPr>
        <w:tabs>
          <w:tab w:val="left" w:pos="7665"/>
        </w:tabs>
        <w:spacing w:line="480" w:lineRule="exact"/>
        <w:ind w:firstLine="472"/>
        <w:rPr>
          <w:rFonts w:hint="eastAsia" w:ascii="宋体" w:hAnsi="宋体" w:cs="宋体"/>
          <w:b/>
          <w:sz w:val="24"/>
        </w:rPr>
      </w:pPr>
    </w:p>
    <w:p w14:paraId="5B3AD2A5">
      <w:pPr>
        <w:tabs>
          <w:tab w:val="left" w:pos="7665"/>
        </w:tabs>
        <w:spacing w:line="480" w:lineRule="exact"/>
        <w:ind w:firstLine="472"/>
        <w:rPr>
          <w:rFonts w:hint="eastAsia" w:ascii="宋体" w:hAnsi="宋体" w:cs="宋体"/>
          <w:b/>
          <w:sz w:val="24"/>
        </w:rPr>
      </w:pPr>
    </w:p>
    <w:p w14:paraId="3A57329D">
      <w:pPr>
        <w:widowControl/>
        <w:spacing w:before="100" w:beforeAutospacing="1" w:after="100" w:afterAutospacing="1" w:line="480" w:lineRule="exact"/>
        <w:jc w:val="both"/>
        <w:outlineLvl w:val="1"/>
        <w:rPr>
          <w:rFonts w:hint="eastAsia" w:ascii="宋体" w:hAnsi="宋体" w:cs="宋体"/>
          <w:b/>
          <w:sz w:val="36"/>
          <w:szCs w:val="36"/>
        </w:rPr>
      </w:pPr>
    </w:p>
    <w:p w14:paraId="6E1EBD18">
      <w:pPr>
        <w:pStyle w:val="2"/>
        <w:spacing w:after="132" w:afterLines="36" w:afterAutospacing="0"/>
        <w:jc w:val="center"/>
        <w:rPr>
          <w:rFonts w:hint="eastAsia" w:ascii="黑体" w:eastAsia="黑体"/>
          <w:bCs/>
          <w:sz w:val="44"/>
        </w:rPr>
      </w:pPr>
      <w:r>
        <w:rPr>
          <w:rFonts w:hint="eastAsia" w:ascii="黑体" w:eastAsia="黑体"/>
          <w:bCs/>
          <w:sz w:val="44"/>
        </w:rPr>
        <w:t xml:space="preserve">第三章  </w:t>
      </w:r>
      <w:bookmarkEnd w:id="37"/>
      <w:bookmarkEnd w:id="38"/>
      <w:bookmarkEnd w:id="39"/>
      <w:bookmarkEnd w:id="40"/>
      <w:bookmarkEnd w:id="41"/>
      <w:bookmarkStart w:id="146" w:name="_Toc20823346"/>
      <w:bookmarkStart w:id="147" w:name="_Toc16938590"/>
      <w:bookmarkStart w:id="148" w:name="_Toc120614244"/>
      <w:bookmarkStart w:id="149" w:name="_Toc462564139"/>
      <w:bookmarkStart w:id="150" w:name="_Toc479757211"/>
      <w:r>
        <w:rPr>
          <w:rFonts w:hint="eastAsia" w:ascii="黑体" w:eastAsia="黑体"/>
          <w:bCs/>
          <w:sz w:val="44"/>
          <w:lang w:val="en-US" w:eastAsia="zh-CN"/>
        </w:rPr>
        <w:t xml:space="preserve"> </w:t>
      </w:r>
      <w:r>
        <w:rPr>
          <w:rFonts w:hint="eastAsia" w:ascii="黑体" w:eastAsia="黑体"/>
          <w:bCs/>
          <w:sz w:val="44"/>
        </w:rPr>
        <w:t>项目需求</w:t>
      </w:r>
      <w:bookmarkEnd w:id="146"/>
      <w:bookmarkEnd w:id="147"/>
      <w:bookmarkEnd w:id="148"/>
    </w:p>
    <w:p w14:paraId="07A13F9A">
      <w:pPr>
        <w:spacing w:beforeAutospacing="0" w:line="360" w:lineRule="auto"/>
        <w:ind w:firstLine="422"/>
        <w:rPr>
          <w:rFonts w:hint="eastAsia" w:ascii="宋体" w:hAnsi="宋体" w:cs="宋体"/>
          <w:b/>
          <w:bCs/>
          <w:color w:val="auto"/>
          <w:highlight w:val="none"/>
        </w:rPr>
      </w:pPr>
      <w:r>
        <w:rPr>
          <w:rFonts w:hint="eastAsia" w:ascii="宋体" w:hAnsi="宋体" w:cs="宋体"/>
          <w:b/>
          <w:bCs/>
          <w:color w:val="auto"/>
          <w:highlight w:val="none"/>
        </w:rPr>
        <w:t>一、人员及机械基本要求</w:t>
      </w:r>
    </w:p>
    <w:p w14:paraId="00A984AD">
      <w:pPr>
        <w:spacing w:line="360" w:lineRule="auto"/>
        <w:ind w:firstLine="420"/>
        <w:rPr>
          <w:rFonts w:hint="eastAsia"/>
          <w:color w:val="auto"/>
          <w:highlight w:val="none"/>
          <w:lang w:eastAsia="zh-CN"/>
        </w:rPr>
      </w:pPr>
      <w:r>
        <w:rPr>
          <w:rFonts w:hint="eastAsia" w:ascii="宋体" w:hAnsi="宋体"/>
          <w:color w:val="auto"/>
          <w:highlight w:val="none"/>
        </w:rPr>
        <w:t>（1）</w:t>
      </w:r>
      <w:r>
        <w:rPr>
          <w:rFonts w:hint="eastAsia" w:ascii="宋体" w:hAnsi="宋体" w:eastAsia="宋体" w:cs="宋体"/>
          <w:color w:val="auto"/>
          <w:sz w:val="21"/>
          <w:szCs w:val="24"/>
          <w:highlight w:val="none"/>
        </w:rPr>
        <w:t>全自动打捞保洁船</w:t>
      </w:r>
      <w:r>
        <w:rPr>
          <w:rFonts w:hint="eastAsia" w:ascii="宋体" w:hAnsi="宋体" w:eastAsia="宋体" w:cs="宋体"/>
          <w:b/>
          <w:bCs/>
          <w:color w:val="auto"/>
          <w:sz w:val="21"/>
          <w:szCs w:val="24"/>
          <w:highlight w:val="none"/>
        </w:rPr>
        <w:t>6条</w:t>
      </w:r>
      <w:r>
        <w:rPr>
          <w:rFonts w:hint="eastAsia" w:ascii="宋体" w:hAnsi="宋体" w:eastAsia="宋体" w:cs="宋体"/>
          <w:color w:val="auto"/>
          <w:sz w:val="21"/>
          <w:szCs w:val="24"/>
          <w:highlight w:val="none"/>
        </w:rPr>
        <w:t>（刘庄1条、新丰1条、三龙1条、铁路桥打捞点3条），打捞保洁船除了要有正常的航行功能外，还必须具有自动打捞水面漂浮物，并且能自动将漂浮物输送上岸的功能</w:t>
      </w:r>
      <w:r>
        <w:rPr>
          <w:rFonts w:hint="eastAsia" w:ascii="宋体" w:hAnsi="宋体" w:eastAsia="宋体" w:cs="宋体"/>
          <w:color w:val="auto"/>
          <w:sz w:val="21"/>
          <w:szCs w:val="24"/>
          <w:highlight w:val="none"/>
          <w:lang w:eastAsia="zh-CN"/>
        </w:rPr>
        <w:t>，</w:t>
      </w:r>
      <w:r>
        <w:rPr>
          <w:rFonts w:hint="eastAsia" w:ascii="宋体" w:hAnsi="宋体" w:eastAsia="宋体" w:cs="宋体"/>
          <w:b/>
          <w:bCs/>
          <w:color w:val="auto"/>
          <w:sz w:val="21"/>
          <w:szCs w:val="24"/>
          <w:highlight w:val="none"/>
        </w:rPr>
        <w:t>配备的打捞保洁船须与河道规模相适应，具备载货量不小于10立方米或打捞保洁船发动机功率不低于50千瓦。</w:t>
      </w:r>
      <w:r>
        <w:rPr>
          <w:rFonts w:hint="eastAsia" w:ascii="宋体" w:hAnsi="宋体"/>
          <w:b/>
          <w:bCs/>
          <w:color w:val="auto"/>
          <w:highlight w:val="none"/>
        </w:rPr>
        <w:t>如有打捞保洁船发生故障，两小时内需有备用</w:t>
      </w:r>
      <w:r>
        <w:rPr>
          <w:rFonts w:hint="eastAsia" w:ascii="宋体" w:hAnsi="宋体"/>
          <w:b/>
          <w:bCs/>
          <w:color w:val="auto"/>
          <w:highlight w:val="none"/>
          <w:lang w:val="en-US" w:eastAsia="zh-CN"/>
        </w:rPr>
        <w:t>打捞</w:t>
      </w:r>
      <w:r>
        <w:rPr>
          <w:rFonts w:hint="eastAsia" w:ascii="宋体" w:hAnsi="宋体"/>
          <w:b/>
          <w:bCs/>
          <w:color w:val="auto"/>
          <w:highlight w:val="none"/>
        </w:rPr>
        <w:t>保洁船到达现场并投入使用（每条打捞保洁船需配备监控设备）</w:t>
      </w:r>
      <w:r>
        <w:rPr>
          <w:rFonts w:hint="eastAsia" w:ascii="宋体" w:hAnsi="宋体"/>
          <w:b/>
          <w:bCs/>
          <w:color w:val="auto"/>
          <w:highlight w:val="none"/>
          <w:lang w:eastAsia="zh-CN"/>
        </w:rPr>
        <w:t>。</w:t>
      </w:r>
    </w:p>
    <w:p w14:paraId="1846DDD4">
      <w:pPr>
        <w:numPr>
          <w:ilvl w:val="0"/>
          <w:numId w:val="0"/>
        </w:numPr>
        <w:spacing w:line="360" w:lineRule="auto"/>
        <w:ind w:firstLine="420" w:firstLineChars="0"/>
        <w:rPr>
          <w:rFonts w:hint="eastAsia" w:ascii="宋体" w:hAnsi="宋体" w:eastAsia="宋体" w:cs="Times New Roman"/>
          <w:color w:val="auto"/>
          <w:highlight w:val="none"/>
          <w:lang w:eastAsia="zh-CN"/>
        </w:rPr>
      </w:pPr>
      <w:r>
        <w:rPr>
          <w:rFonts w:hint="eastAsia" w:ascii="宋体" w:hAnsi="宋体" w:eastAsia="宋体" w:cs="Times New Roman"/>
          <w:color w:val="auto"/>
          <w:sz w:val="21"/>
          <w:szCs w:val="21"/>
          <w:highlight w:val="none"/>
          <w:lang w:val="en-US" w:eastAsia="zh-CN" w:bidi="ar-SA"/>
        </w:rPr>
        <w:t>（</w:t>
      </w:r>
      <w:r>
        <w:rPr>
          <w:rFonts w:hint="eastAsia" w:ascii="宋体" w:hAnsi="宋体" w:cs="Times New Roman"/>
          <w:color w:val="auto"/>
          <w:sz w:val="21"/>
          <w:szCs w:val="21"/>
          <w:highlight w:val="none"/>
          <w:lang w:val="en-US" w:eastAsia="zh-CN" w:bidi="ar-SA"/>
        </w:rPr>
        <w:t>2</w:t>
      </w:r>
      <w:r>
        <w:rPr>
          <w:rFonts w:hint="eastAsia" w:ascii="宋体" w:hAnsi="宋体" w:eastAsia="宋体" w:cs="Times New Roman"/>
          <w:color w:val="auto"/>
          <w:sz w:val="21"/>
          <w:szCs w:val="21"/>
          <w:highlight w:val="none"/>
          <w:lang w:val="en-US" w:eastAsia="zh-CN" w:bidi="ar-SA"/>
        </w:rPr>
        <w:t>）</w:t>
      </w:r>
      <w:r>
        <w:rPr>
          <w:rFonts w:hint="eastAsia" w:ascii="宋体" w:hAnsi="宋体"/>
          <w:color w:val="auto"/>
          <w:highlight w:val="none"/>
        </w:rPr>
        <w:t>挖掘机</w:t>
      </w:r>
      <w:r>
        <w:rPr>
          <w:rFonts w:hint="eastAsia" w:ascii="宋体" w:hAnsi="宋体"/>
          <w:b/>
          <w:bCs/>
          <w:color w:val="auto"/>
          <w:highlight w:val="none"/>
        </w:rPr>
        <w:t>4台</w:t>
      </w:r>
      <w:r>
        <w:rPr>
          <w:rFonts w:hint="eastAsia" w:ascii="宋体" w:hAnsi="宋体"/>
          <w:color w:val="auto"/>
          <w:highlight w:val="none"/>
        </w:rPr>
        <w:t>，规格不小于80型号，用于上岸漂浮物的翻运、装车。拖网设备4条</w:t>
      </w:r>
      <w:r>
        <w:rPr>
          <w:rFonts w:hint="eastAsia" w:ascii="宋体" w:hAnsi="宋体"/>
          <w:color w:val="auto"/>
          <w:highlight w:val="none"/>
          <w:lang w:eastAsia="zh-CN"/>
        </w:rPr>
        <w:t>（拖网长度不得低于河道宽度）。</w:t>
      </w:r>
    </w:p>
    <w:p w14:paraId="3F8EAAEB">
      <w:pPr>
        <w:keepNext w:val="0"/>
        <w:keepLines w:val="0"/>
        <w:pageBreakBefore w:val="0"/>
        <w:widowControl w:val="0"/>
        <w:spacing w:line="500" w:lineRule="exact"/>
        <w:ind w:firstLine="420"/>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（3）固定输送设备运行：设备甲方提供(含配套的配变电设施)，用于河道内水草输送上岸，乙方负责使用、维修保养</w:t>
      </w:r>
      <w:r>
        <w:rPr>
          <w:rFonts w:hint="eastAsia" w:ascii="宋体" w:hAnsi="宋体" w:cs="Times New Roman"/>
          <w:color w:val="auto"/>
          <w:sz w:val="21"/>
          <w:szCs w:val="21"/>
          <w:highlight w:val="none"/>
          <w:lang w:val="en-US" w:eastAsia="zh-CN" w:bidi="ar-SA"/>
        </w:rPr>
        <w:t>。</w:t>
      </w:r>
    </w:p>
    <w:p w14:paraId="1D8E0A7E">
      <w:pPr>
        <w:keepNext w:val="0"/>
        <w:keepLines w:val="0"/>
        <w:pageBreakBefore w:val="0"/>
        <w:widowControl w:val="0"/>
        <w:spacing w:line="500" w:lineRule="exact"/>
        <w:ind w:firstLine="420"/>
        <w:rPr>
          <w:rFonts w:hint="default" w:ascii="宋体" w:hAnsi="宋体" w:eastAsia="宋体" w:cs="Times New Roman"/>
          <w:color w:val="auto"/>
          <w:highlight w:val="none"/>
          <w:lang w:val="en-US" w:eastAsia="zh-CN"/>
        </w:rPr>
      </w:pPr>
      <w:r>
        <w:rPr>
          <w:rFonts w:hint="eastAsia" w:ascii="宋体" w:hAnsi="宋体" w:eastAsia="宋体" w:cs="Times New Roman"/>
          <w:color w:val="auto"/>
          <w:sz w:val="21"/>
          <w:szCs w:val="21"/>
          <w:highlight w:val="none"/>
          <w:lang w:val="en-US" w:eastAsia="zh-CN" w:bidi="ar-SA"/>
        </w:rPr>
        <w:t>（</w:t>
      </w:r>
      <w:r>
        <w:rPr>
          <w:rFonts w:hint="eastAsia" w:ascii="宋体" w:hAnsi="宋体" w:cs="Times New Roman"/>
          <w:color w:val="auto"/>
          <w:sz w:val="21"/>
          <w:szCs w:val="21"/>
          <w:highlight w:val="none"/>
          <w:lang w:val="en-US" w:eastAsia="zh-CN" w:bidi="ar-SA"/>
        </w:rPr>
        <w:t>4</w:t>
      </w:r>
      <w:r>
        <w:rPr>
          <w:rFonts w:hint="eastAsia" w:ascii="宋体" w:hAnsi="宋体" w:eastAsia="宋体" w:cs="Times New Roman"/>
          <w:color w:val="auto"/>
          <w:sz w:val="21"/>
          <w:szCs w:val="21"/>
          <w:highlight w:val="none"/>
          <w:lang w:val="en-US" w:eastAsia="zh-CN" w:bidi="ar-SA"/>
        </w:rPr>
        <w:t>）</w:t>
      </w:r>
      <w:r>
        <w:rPr>
          <w:rFonts w:hint="eastAsia" w:ascii="宋体" w:hAnsi="宋体" w:cs="Times New Roman"/>
          <w:color w:val="auto"/>
          <w:highlight w:val="none"/>
          <w:lang w:val="en-US" w:eastAsia="zh-CN"/>
        </w:rPr>
        <w:t>本项目在盐丰快速通道大桥附近、铁路桥现有拦截打捞点、新丰与三龙交界处、G228大桥附近等处设置拦截打捞点4处。打捞实施单位在拦截打捞点设置临时堆放点，临时堆放点由中标单位就近自行协调处理，临时堆放点漂浮物具体翻运作业时间根据现场情况自行安排，保证水草不得在现场长时间堆积（临时堆放不超过5天），配备专业打捞保洁船及专职保洁人员，常态化开展水面漂浮物的打捞与处置工作，保证打捞工作专业性和安全性</w:t>
      </w:r>
      <w:r>
        <w:rPr>
          <w:rFonts w:hint="eastAsia" w:ascii="宋体" w:hAnsi="宋体" w:eastAsia="宋体" w:cs="Times New Roman"/>
          <w:color w:val="auto"/>
          <w:highlight w:val="none"/>
          <w:lang w:eastAsia="zh-CN"/>
        </w:rPr>
        <w:t>。</w:t>
      </w:r>
    </w:p>
    <w:p w14:paraId="051B91B6">
      <w:pPr>
        <w:keepNext w:val="0"/>
        <w:keepLines w:val="0"/>
        <w:pageBreakBefore w:val="0"/>
        <w:widowControl w:val="0"/>
        <w:spacing w:line="500" w:lineRule="exact"/>
        <w:ind w:firstLine="420"/>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（5）保洁要求：斗龙港河境内实现无水面漂浮物出境、无集聚性水面漂浮物的目标。</w:t>
      </w:r>
    </w:p>
    <w:p w14:paraId="4CBE424B">
      <w:pPr>
        <w:keepNext w:val="0"/>
        <w:keepLines w:val="0"/>
        <w:pageBreakBefore w:val="0"/>
        <w:widowControl w:val="0"/>
        <w:spacing w:line="500" w:lineRule="exact"/>
        <w:ind w:firstLine="420"/>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（6）项目负责人1人，安全管理员1人，在打捞作业时必须在项目实施区域内。</w:t>
      </w:r>
    </w:p>
    <w:p w14:paraId="5AE878ED">
      <w:pPr>
        <w:keepNext w:val="0"/>
        <w:keepLines w:val="0"/>
        <w:pageBreakBefore w:val="0"/>
        <w:widowControl w:val="0"/>
        <w:spacing w:line="500" w:lineRule="exact"/>
        <w:ind w:firstLine="420"/>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（7）人员年龄：项目负责人、安全管理员</w:t>
      </w:r>
      <w:r>
        <w:rPr>
          <w:rFonts w:hint="eastAsia" w:ascii="宋体" w:hAnsi="宋体" w:cs="Times New Roman"/>
          <w:color w:val="auto"/>
          <w:highlight w:val="none"/>
          <w:lang w:val="en-US" w:eastAsia="zh-CN"/>
        </w:rPr>
        <w:t>60</w:t>
      </w:r>
      <w:r>
        <w:rPr>
          <w:rFonts w:hint="eastAsia" w:ascii="宋体" w:hAnsi="宋体" w:eastAsia="宋体" w:cs="Times New Roman"/>
          <w:color w:val="auto"/>
          <w:highlight w:val="none"/>
          <w:lang w:val="en-US" w:eastAsia="zh-CN"/>
        </w:rPr>
        <w:t>周岁以下，必须为投标单位正式职工。</w:t>
      </w:r>
    </w:p>
    <w:p w14:paraId="6EE7DA8E">
      <w:pPr>
        <w:keepNext w:val="0"/>
        <w:keepLines w:val="0"/>
        <w:pageBreakBefore w:val="0"/>
        <w:widowControl w:val="0"/>
        <w:spacing w:line="500" w:lineRule="exact"/>
        <w:ind w:firstLine="420"/>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（8）遇到突击检查时，所有配备人员须无条件服务甲方调度。</w:t>
      </w:r>
    </w:p>
    <w:p w14:paraId="0BC531AC">
      <w:pPr>
        <w:keepNext w:val="0"/>
        <w:keepLines w:val="0"/>
        <w:pageBreakBefore w:val="0"/>
        <w:widowControl w:val="0"/>
        <w:spacing w:line="500" w:lineRule="exact"/>
        <w:ind w:firstLine="420"/>
        <w:rPr>
          <w:rFonts w:hint="default" w:eastAsia="宋体"/>
          <w:b/>
          <w:bCs/>
          <w:color w:val="auto"/>
          <w:highlight w:val="none"/>
          <w:lang w:val="en-US" w:eastAsia="zh-CN"/>
        </w:rPr>
      </w:pPr>
      <w:r>
        <w:rPr>
          <w:rFonts w:hint="eastAsia" w:ascii="宋体" w:hAnsi="宋体" w:eastAsia="宋体" w:cs="Times New Roman"/>
          <w:color w:val="auto"/>
          <w:highlight w:val="none"/>
          <w:lang w:val="en-US" w:eastAsia="zh-CN"/>
        </w:rPr>
        <w:t>（9）所有配备人员要求60周岁以下（男女不限），身体健康，会水性，</w:t>
      </w:r>
      <w:r>
        <w:rPr>
          <w:rFonts w:hint="eastAsia" w:ascii="宋体" w:hAnsi="宋体" w:cs="Times New Roman"/>
          <w:color w:val="auto"/>
          <w:highlight w:val="none"/>
          <w:lang w:val="en-US" w:eastAsia="zh-CN"/>
        </w:rPr>
        <w:t>需缴纳意外险，</w:t>
      </w:r>
      <w:r>
        <w:rPr>
          <w:rFonts w:hint="eastAsia" w:ascii="宋体" w:hAnsi="宋体" w:eastAsia="宋体" w:cs="Times New Roman"/>
          <w:color w:val="auto"/>
          <w:highlight w:val="none"/>
          <w:lang w:val="en-US" w:eastAsia="zh-CN"/>
        </w:rPr>
        <w:t>上班时间内必须穿救生衣。全自动打捞保洁船、拖网小艇、挖掘机、输送设备操作人员的配备必须达到1机1人，</w:t>
      </w:r>
      <w:r>
        <w:rPr>
          <w:rFonts w:hint="eastAsia" w:ascii="宋体" w:hAnsi="宋体" w:eastAsia="宋体" w:cs="Times New Roman"/>
          <w:b/>
          <w:bCs/>
          <w:color w:val="auto"/>
          <w:highlight w:val="none"/>
          <w:lang w:val="en-US" w:eastAsia="zh-CN"/>
        </w:rPr>
        <w:t>全自动打捞保洁船、拖网小艇操作人员须具有市级及以上地方海事局颁发的《内河船舶船员适任证书》，挖掘机操作人员须具有住建部门颁发的《建筑施工特种作业操作资格证》，输送设备电力设施管理维护人员必须持有安监部门颁发的《电工特种作业操作证》或能源部门颁发的《电工进网作业许可证》或人力资源与社会保障部门颁发的《电工职业资格证书》或住建部门颁发的《建筑施工特种作业操作资格证》。</w:t>
      </w:r>
    </w:p>
    <w:p w14:paraId="415ED1D9">
      <w:pPr>
        <w:keepNext w:val="0"/>
        <w:keepLines w:val="0"/>
        <w:pageBreakBefore w:val="0"/>
        <w:widowControl w:val="0"/>
        <w:spacing w:line="500" w:lineRule="exact"/>
        <w:ind w:firstLine="422"/>
        <w:rPr>
          <w:rFonts w:hint="eastAsia" w:ascii="宋体" w:hAnsi="宋体" w:eastAsia="宋体" w:cs="宋体"/>
          <w:b/>
          <w:bCs/>
          <w:color w:val="auto"/>
          <w:highlight w:val="none"/>
        </w:rPr>
      </w:pPr>
      <w:r>
        <w:rPr>
          <w:rFonts w:hint="eastAsia" w:ascii="宋体" w:hAnsi="宋体"/>
          <w:b/>
          <w:bCs/>
          <w:color w:val="auto"/>
          <w:highlight w:val="none"/>
        </w:rPr>
        <w:t>二、</w:t>
      </w:r>
      <w:r>
        <w:rPr>
          <w:rFonts w:hint="eastAsia" w:ascii="宋体" w:hAnsi="宋体" w:eastAsia="宋体" w:cs="宋体"/>
          <w:b/>
          <w:bCs/>
          <w:color w:val="auto"/>
          <w:highlight w:val="none"/>
        </w:rPr>
        <w:t>服务内容及要求</w:t>
      </w:r>
    </w:p>
    <w:p w14:paraId="48C65ADB">
      <w:pPr>
        <w:keepNext w:val="0"/>
        <w:keepLines w:val="0"/>
        <w:pageBreakBefore w:val="0"/>
        <w:widowControl w:val="0"/>
        <w:numPr>
          <w:ilvl w:val="0"/>
          <w:numId w:val="0"/>
        </w:numPr>
        <w:tabs>
          <w:tab w:val="left" w:pos="420"/>
        </w:tabs>
        <w:spacing w:line="500" w:lineRule="exact"/>
        <w:ind w:firstLine="42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w:t>
      </w:r>
      <w:r>
        <w:rPr>
          <w:rFonts w:hint="eastAsia" w:ascii="宋体" w:hAnsi="宋体" w:cs="宋体"/>
          <w:color w:val="auto"/>
          <w:highlight w:val="none"/>
          <w:lang w:val="en-US" w:eastAsia="zh-CN"/>
        </w:rPr>
        <w:t>对</w:t>
      </w:r>
      <w:r>
        <w:rPr>
          <w:rFonts w:hint="eastAsia" w:ascii="宋体" w:hAnsi="宋体" w:cs="宋体"/>
          <w:color w:val="auto"/>
          <w:sz w:val="21"/>
          <w:szCs w:val="21"/>
          <w:highlight w:val="none"/>
          <w:lang w:eastAsia="zh-CN"/>
        </w:rPr>
        <w:t>斗龙港河</w:t>
      </w:r>
      <w:r>
        <w:rPr>
          <w:rFonts w:hint="eastAsia" w:ascii="宋体" w:hAnsi="宋体" w:cs="宋体"/>
          <w:color w:val="auto"/>
          <w:sz w:val="21"/>
          <w:szCs w:val="21"/>
          <w:highlight w:val="none"/>
          <w:lang w:val="en-US" w:eastAsia="zh-CN"/>
        </w:rPr>
        <w:t>大丰区境内河段</w:t>
      </w:r>
      <w:r>
        <w:rPr>
          <w:rFonts w:hint="eastAsia" w:ascii="宋体" w:hAnsi="宋体" w:cs="宋体"/>
          <w:color w:val="auto"/>
          <w:sz w:val="21"/>
          <w:szCs w:val="21"/>
          <w:highlight w:val="none"/>
          <w:lang w:eastAsia="zh-CN"/>
        </w:rPr>
        <w:t>及其支河拦挡（或闸、站）外漂浮物</w:t>
      </w:r>
      <w:r>
        <w:rPr>
          <w:rFonts w:hint="eastAsia" w:ascii="宋体" w:hAnsi="宋体" w:cs="宋体"/>
          <w:color w:val="auto"/>
          <w:sz w:val="21"/>
          <w:szCs w:val="21"/>
          <w:highlight w:val="none"/>
          <w:lang w:val="en-US" w:eastAsia="zh-CN"/>
        </w:rPr>
        <w:t>进行</w:t>
      </w:r>
      <w:r>
        <w:rPr>
          <w:rFonts w:hint="eastAsia" w:ascii="宋体" w:hAnsi="宋体" w:cs="宋体"/>
          <w:color w:val="auto"/>
          <w:sz w:val="21"/>
          <w:szCs w:val="21"/>
          <w:highlight w:val="none"/>
          <w:lang w:eastAsia="zh-CN"/>
        </w:rPr>
        <w:t>打捞，</w:t>
      </w:r>
      <w:r>
        <w:rPr>
          <w:rFonts w:hint="eastAsia" w:ascii="宋体" w:hAnsi="宋体" w:cs="宋体"/>
          <w:color w:val="auto"/>
          <w:sz w:val="21"/>
          <w:szCs w:val="21"/>
          <w:highlight w:val="none"/>
          <w:lang w:val="en-US" w:eastAsia="zh-CN"/>
        </w:rPr>
        <w:t>在</w:t>
      </w:r>
      <w:r>
        <w:rPr>
          <w:rFonts w:hint="eastAsia" w:ascii="宋体" w:hAnsi="宋体" w:eastAsia="宋体" w:cs="宋体"/>
          <w:color w:val="auto"/>
          <w:highlight w:val="none"/>
        </w:rPr>
        <w:t>设置的拦截打捞点</w:t>
      </w:r>
      <w:r>
        <w:rPr>
          <w:rFonts w:hint="eastAsia" w:ascii="宋体" w:hAnsi="宋体" w:eastAsia="宋体" w:cs="宋体"/>
          <w:color w:val="auto"/>
          <w:highlight w:val="none"/>
          <w:lang w:val="en-US" w:eastAsia="zh-CN"/>
        </w:rPr>
        <w:t>配备专业打捞保洁船，</w:t>
      </w:r>
      <w:r>
        <w:rPr>
          <w:rFonts w:hint="eastAsia" w:ascii="宋体" w:hAnsi="宋体" w:cs="宋体"/>
          <w:color w:val="auto"/>
          <w:sz w:val="21"/>
          <w:szCs w:val="21"/>
          <w:highlight w:val="none"/>
          <w:lang w:eastAsia="zh-CN"/>
        </w:rPr>
        <w:t>采取近岸拦截打捞和流动打捞相结合的方式，</w:t>
      </w:r>
      <w:r>
        <w:rPr>
          <w:rFonts w:hint="eastAsia" w:ascii="宋体" w:hAnsi="宋体" w:eastAsia="宋体" w:cs="宋体"/>
          <w:color w:val="auto"/>
          <w:highlight w:val="none"/>
          <w:lang w:val="en-US" w:eastAsia="zh-CN"/>
        </w:rPr>
        <w:t>常态化开展水面漂浮物的打捞与处置工作，保证打捞工作专业性和安全性</w:t>
      </w:r>
      <w:r>
        <w:rPr>
          <w:rFonts w:hint="eastAsia" w:ascii="宋体" w:hAnsi="宋体" w:cs="宋体"/>
          <w:color w:val="auto"/>
          <w:sz w:val="21"/>
          <w:szCs w:val="21"/>
          <w:highlight w:val="none"/>
          <w:lang w:eastAsia="zh-CN"/>
        </w:rPr>
        <w:t>。确保</w:t>
      </w:r>
      <w:r>
        <w:rPr>
          <w:rFonts w:hint="eastAsia" w:ascii="宋体" w:hAnsi="宋体" w:eastAsia="宋体" w:cs="宋体"/>
          <w:color w:val="auto"/>
          <w:highlight w:val="none"/>
          <w:lang w:val="en-US" w:eastAsia="zh-CN"/>
        </w:rPr>
        <w:t>境内</w:t>
      </w:r>
      <w:r>
        <w:rPr>
          <w:rFonts w:hint="eastAsia" w:ascii="宋体" w:hAnsi="宋体" w:cs="宋体"/>
          <w:color w:val="auto"/>
          <w:highlight w:val="none"/>
          <w:lang w:val="en-US" w:eastAsia="zh-CN"/>
        </w:rPr>
        <w:t>及</w:t>
      </w:r>
      <w:r>
        <w:rPr>
          <w:rFonts w:hint="eastAsia" w:ascii="宋体" w:hAnsi="宋体" w:cs="宋体"/>
          <w:color w:val="auto"/>
          <w:sz w:val="21"/>
          <w:szCs w:val="21"/>
          <w:highlight w:val="none"/>
          <w:lang w:eastAsia="zh-CN"/>
        </w:rPr>
        <w:t>打捞断面无集聚性水面漂浮物，</w:t>
      </w:r>
      <w:r>
        <w:rPr>
          <w:rFonts w:hint="eastAsia" w:ascii="宋体" w:hAnsi="宋体" w:eastAsia="宋体" w:cs="宋体"/>
          <w:color w:val="auto"/>
          <w:highlight w:val="none"/>
          <w:lang w:val="en-US" w:eastAsia="zh-CN"/>
        </w:rPr>
        <w:t>实现</w:t>
      </w:r>
      <w:r>
        <w:rPr>
          <w:rFonts w:hint="eastAsia" w:ascii="宋体" w:hAnsi="宋体" w:cs="宋体"/>
          <w:color w:val="auto"/>
          <w:sz w:val="21"/>
          <w:szCs w:val="21"/>
          <w:highlight w:val="none"/>
          <w:lang w:eastAsia="zh-CN"/>
        </w:rPr>
        <w:t>无漂浮物出境</w:t>
      </w:r>
      <w:r>
        <w:rPr>
          <w:rFonts w:hint="eastAsia" w:ascii="宋体" w:hAnsi="宋体" w:eastAsia="宋体" w:cs="宋体"/>
          <w:color w:val="auto"/>
          <w:highlight w:val="none"/>
          <w:lang w:val="en-US" w:eastAsia="zh-CN"/>
        </w:rPr>
        <w:t>目标</w:t>
      </w:r>
      <w:r>
        <w:rPr>
          <w:rFonts w:hint="eastAsia" w:ascii="宋体" w:hAnsi="宋体" w:cs="宋体"/>
          <w:color w:val="auto"/>
          <w:sz w:val="21"/>
          <w:szCs w:val="21"/>
          <w:highlight w:val="none"/>
          <w:lang w:eastAsia="zh-CN"/>
        </w:rPr>
        <w:t>。</w:t>
      </w:r>
    </w:p>
    <w:p w14:paraId="15555D30">
      <w:pPr>
        <w:keepNext w:val="0"/>
        <w:keepLines w:val="0"/>
        <w:pageBreakBefore w:val="0"/>
        <w:widowControl w:val="0"/>
        <w:numPr>
          <w:ilvl w:val="0"/>
          <w:numId w:val="0"/>
        </w:numPr>
        <w:tabs>
          <w:tab w:val="left" w:pos="420"/>
        </w:tabs>
        <w:spacing w:line="500" w:lineRule="exact"/>
        <w:ind w:firstLine="42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2、服务地点：</w:t>
      </w:r>
      <w:r>
        <w:rPr>
          <w:rFonts w:hint="eastAsia" w:ascii="宋体" w:hAnsi="宋体" w:cs="宋体"/>
          <w:b/>
          <w:bCs/>
          <w:color w:val="auto"/>
          <w:sz w:val="21"/>
          <w:szCs w:val="21"/>
          <w:highlight w:val="none"/>
          <w:lang w:val="en-US" w:eastAsia="zh-CN"/>
        </w:rPr>
        <w:t>新河-串场河10.3公里、串场河-与三龙交界处25.5公里、与新丰交界-斗龙港闸14.4公里</w:t>
      </w:r>
      <w:r>
        <w:rPr>
          <w:rFonts w:hint="eastAsia" w:ascii="宋体" w:hAnsi="宋体" w:cs="宋体"/>
          <w:b/>
          <w:bCs/>
          <w:color w:val="auto"/>
          <w:sz w:val="21"/>
          <w:szCs w:val="21"/>
          <w:highlight w:val="none"/>
          <w:lang w:eastAsia="zh-CN"/>
        </w:rPr>
        <w:t>。</w:t>
      </w:r>
    </w:p>
    <w:p w14:paraId="2248E494">
      <w:pPr>
        <w:keepNext w:val="0"/>
        <w:keepLines w:val="0"/>
        <w:pageBreakBefore w:val="0"/>
        <w:widowControl w:val="0"/>
        <w:numPr>
          <w:ilvl w:val="0"/>
          <w:numId w:val="0"/>
        </w:numPr>
        <w:tabs>
          <w:tab w:val="left" w:pos="420"/>
        </w:tabs>
        <w:spacing w:line="500" w:lineRule="exact"/>
        <w:ind w:firstLine="42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3、保洁要求：实现无水面漂浮物出境、境内</w:t>
      </w:r>
      <w:r>
        <w:rPr>
          <w:rFonts w:hint="eastAsia" w:ascii="宋体" w:hAnsi="宋体" w:cs="宋体"/>
          <w:color w:val="auto"/>
          <w:highlight w:val="none"/>
          <w:lang w:val="en-US" w:eastAsia="zh-CN"/>
        </w:rPr>
        <w:t>及</w:t>
      </w:r>
      <w:r>
        <w:rPr>
          <w:rFonts w:hint="eastAsia" w:ascii="宋体" w:hAnsi="宋体" w:cs="宋体"/>
          <w:color w:val="auto"/>
          <w:sz w:val="21"/>
          <w:szCs w:val="21"/>
          <w:highlight w:val="none"/>
          <w:lang w:eastAsia="zh-CN"/>
        </w:rPr>
        <w:t>打捞断面</w:t>
      </w:r>
      <w:r>
        <w:rPr>
          <w:rFonts w:hint="eastAsia" w:ascii="宋体" w:hAnsi="宋体" w:eastAsia="宋体" w:cs="宋体"/>
          <w:color w:val="auto"/>
          <w:highlight w:val="none"/>
          <w:lang w:val="en-US" w:eastAsia="zh-CN"/>
        </w:rPr>
        <w:t>无集聚性水面漂浮物的目标。</w:t>
      </w:r>
    </w:p>
    <w:p w14:paraId="5DBC3B1F">
      <w:pPr>
        <w:keepNext w:val="0"/>
        <w:keepLines w:val="0"/>
        <w:pageBreakBefore w:val="0"/>
        <w:widowControl w:val="0"/>
        <w:numPr>
          <w:ilvl w:val="0"/>
          <w:numId w:val="0"/>
        </w:numPr>
        <w:tabs>
          <w:tab w:val="left" w:pos="420"/>
        </w:tabs>
        <w:spacing w:line="500" w:lineRule="exact"/>
        <w:ind w:firstLine="42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4、除上述要求配备的</w:t>
      </w:r>
      <w:r>
        <w:rPr>
          <w:rFonts w:hint="eastAsia" w:ascii="宋体" w:hAnsi="宋体" w:cs="宋体"/>
          <w:color w:val="auto"/>
          <w:highlight w:val="none"/>
          <w:lang w:val="en-US" w:eastAsia="zh-CN"/>
        </w:rPr>
        <w:t>全自动打捞保洁船、挖掘机、拖网设备</w:t>
      </w:r>
      <w:r>
        <w:rPr>
          <w:rFonts w:hint="eastAsia" w:ascii="宋体" w:hAnsi="宋体" w:eastAsia="宋体" w:cs="宋体"/>
          <w:color w:val="auto"/>
          <w:highlight w:val="none"/>
          <w:lang w:val="en-US" w:eastAsia="zh-CN"/>
        </w:rPr>
        <w:t>外，根据甲方的要求，要随时确保</w:t>
      </w:r>
      <w:r>
        <w:rPr>
          <w:rFonts w:hint="eastAsia" w:ascii="宋体" w:hAnsi="宋体" w:cs="宋体"/>
          <w:color w:val="auto"/>
          <w:highlight w:val="none"/>
          <w:lang w:val="en-US" w:eastAsia="zh-CN"/>
        </w:rPr>
        <w:t>斗龙港河</w:t>
      </w:r>
      <w:r>
        <w:rPr>
          <w:rFonts w:hint="eastAsia" w:ascii="宋体" w:hAnsi="宋体" w:eastAsia="宋体" w:cs="宋体"/>
          <w:color w:val="auto"/>
          <w:highlight w:val="none"/>
          <w:lang w:val="en-US" w:eastAsia="zh-CN"/>
        </w:rPr>
        <w:t>招标范围内水面漂浮物的突击打捞。根据自身打捞方案考虑，必须满足打捞点日常无水面漂浮物出境及无水面漂浮物聚集的要求。</w:t>
      </w:r>
    </w:p>
    <w:p w14:paraId="41957DCB">
      <w:pPr>
        <w:keepNext w:val="0"/>
        <w:keepLines w:val="0"/>
        <w:pageBreakBefore w:val="0"/>
        <w:widowControl w:val="0"/>
        <w:numPr>
          <w:ilvl w:val="0"/>
          <w:numId w:val="0"/>
        </w:numPr>
        <w:tabs>
          <w:tab w:val="left" w:pos="420"/>
        </w:tabs>
        <w:spacing w:line="500" w:lineRule="exact"/>
        <w:ind w:firstLine="420"/>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5、区水利局每月定期或不定期牵头会同属地相关单位对打捞保洁情况进行考核，属地工作情况由相关镇政府安排属地水利、农业农村等部门人员联合签名确认。考核最终的得分以沿线各板块（断面）考核平均分为准，作为付款依据。考核结果作为审计结算依据</w:t>
      </w:r>
      <w:r>
        <w:rPr>
          <w:rFonts w:hint="eastAsia" w:ascii="宋体" w:hAnsi="宋体" w:cs="宋体"/>
          <w:color w:val="auto"/>
          <w:highlight w:val="none"/>
          <w:lang w:val="en-US" w:eastAsia="zh-CN"/>
        </w:rPr>
        <w:t>。日常管理由各版块负责各自辖区内河段，具体河段为</w:t>
      </w:r>
      <w:r>
        <w:rPr>
          <w:rFonts w:hint="eastAsia" w:ascii="宋体" w:hAnsi="宋体" w:cs="宋体"/>
          <w:color w:val="auto"/>
          <w:sz w:val="21"/>
          <w:szCs w:val="21"/>
          <w:highlight w:val="none"/>
          <w:lang w:val="en-US" w:eastAsia="zh-CN"/>
        </w:rPr>
        <w:t>新河-串场河10.3公里、串场河-与三龙交界处25.5公里、与新丰交界-斗龙港闸14.4公里</w:t>
      </w:r>
      <w:r>
        <w:rPr>
          <w:rFonts w:hint="eastAsia" w:ascii="宋体" w:hAnsi="宋体" w:cs="宋体"/>
          <w:color w:val="auto"/>
          <w:sz w:val="21"/>
          <w:szCs w:val="21"/>
          <w:highlight w:val="none"/>
          <w:lang w:eastAsia="zh-CN"/>
        </w:rPr>
        <w:t>。</w:t>
      </w:r>
    </w:p>
    <w:p w14:paraId="0960F8BD">
      <w:pPr>
        <w:keepNext w:val="0"/>
        <w:keepLines w:val="0"/>
        <w:pageBreakBefore w:val="0"/>
        <w:widowControl w:val="0"/>
        <w:spacing w:line="500" w:lineRule="exact"/>
        <w:ind w:left="420"/>
        <w:rPr>
          <w:rFonts w:hint="eastAsia" w:ascii="宋体" w:hAnsi="宋体" w:eastAsia="宋体" w:cs="宋体"/>
          <w:b/>
          <w:bCs/>
          <w:color w:val="auto"/>
          <w:highlight w:val="none"/>
        </w:rPr>
      </w:pPr>
      <w:r>
        <w:rPr>
          <w:rFonts w:hint="eastAsia" w:ascii="宋体" w:hAnsi="宋体" w:eastAsia="宋体" w:cs="宋体"/>
          <w:b/>
          <w:bCs/>
          <w:color w:val="auto"/>
          <w:highlight w:val="none"/>
        </w:rPr>
        <w:t>三、保洁标准重要内容：</w:t>
      </w:r>
    </w:p>
    <w:p w14:paraId="4155B190">
      <w:pPr>
        <w:keepNext w:val="0"/>
        <w:keepLines w:val="0"/>
        <w:pageBreakBefore w:val="0"/>
        <w:widowControl w:val="0"/>
        <w:spacing w:line="500" w:lineRule="exact"/>
        <w:ind w:firstLine="42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1、对河道实施</w:t>
      </w:r>
      <w:r>
        <w:rPr>
          <w:rFonts w:hint="eastAsia" w:ascii="宋体" w:hAnsi="宋体" w:cs="宋体"/>
          <w:color w:val="auto"/>
          <w:highlight w:val="none"/>
          <w:lang w:val="en-US" w:eastAsia="zh-CN"/>
        </w:rPr>
        <w:t>常态化</w:t>
      </w:r>
      <w:r>
        <w:rPr>
          <w:rFonts w:hint="eastAsia" w:ascii="宋体" w:hAnsi="宋体" w:eastAsia="宋体" w:cs="宋体"/>
          <w:color w:val="auto"/>
          <w:highlight w:val="none"/>
          <w:lang w:val="en-US" w:eastAsia="zh-CN"/>
        </w:rPr>
        <w:t>保洁，</w:t>
      </w:r>
      <w:r>
        <w:rPr>
          <w:rFonts w:hint="eastAsia" w:ascii="宋体" w:hAnsi="宋体" w:cs="宋体"/>
          <w:color w:val="auto"/>
          <w:highlight w:val="none"/>
          <w:lang w:val="en-US" w:eastAsia="zh-CN"/>
        </w:rPr>
        <w:t>保持</w:t>
      </w:r>
      <w:r>
        <w:rPr>
          <w:rFonts w:hint="eastAsia" w:ascii="宋体" w:hAnsi="宋体" w:eastAsia="宋体" w:cs="宋体"/>
          <w:color w:val="auto"/>
          <w:highlight w:val="none"/>
          <w:lang w:val="en-US" w:eastAsia="zh-CN"/>
        </w:rPr>
        <w:t>水面无漂浮物，</w:t>
      </w:r>
      <w:r>
        <w:rPr>
          <w:rFonts w:hint="eastAsia" w:ascii="宋体" w:hAnsi="宋体" w:cs="宋体"/>
          <w:color w:val="auto"/>
          <w:highlight w:val="none"/>
          <w:lang w:val="en-US" w:eastAsia="zh-CN"/>
        </w:rPr>
        <w:t>河道两侧</w:t>
      </w:r>
      <w:r>
        <w:rPr>
          <w:rFonts w:hint="eastAsia" w:ascii="宋体" w:hAnsi="宋体" w:eastAsia="宋体" w:cs="宋体"/>
          <w:color w:val="auto"/>
          <w:highlight w:val="none"/>
          <w:lang w:val="en-US" w:eastAsia="zh-CN"/>
        </w:rPr>
        <w:t>无水花生，无成片水草</w:t>
      </w:r>
      <w:r>
        <w:rPr>
          <w:rFonts w:hint="eastAsia" w:ascii="宋体" w:hAnsi="宋体" w:cs="宋体"/>
          <w:color w:val="auto"/>
          <w:highlight w:val="none"/>
          <w:lang w:val="en-US" w:eastAsia="zh-CN"/>
        </w:rPr>
        <w:t>，做到水面日产日清</w:t>
      </w:r>
      <w:r>
        <w:rPr>
          <w:rFonts w:hint="eastAsia" w:ascii="宋体" w:hAnsi="宋体" w:eastAsia="宋体" w:cs="宋体"/>
          <w:color w:val="auto"/>
          <w:highlight w:val="none"/>
          <w:lang w:val="en-US" w:eastAsia="zh-CN"/>
        </w:rPr>
        <w:t>；</w:t>
      </w:r>
    </w:p>
    <w:p w14:paraId="332B0B31">
      <w:pPr>
        <w:keepNext w:val="0"/>
        <w:keepLines w:val="0"/>
        <w:pageBreakBefore w:val="0"/>
        <w:widowControl w:val="0"/>
        <w:spacing w:line="500" w:lineRule="exact"/>
        <w:ind w:firstLine="42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2、所打捞的漂浮物由中标单位负责处理，甲方不提供堆放场地，乙方堆积的漂浮物必须清运无害化处置，避免污染环境，不得随地掩埋或随意倾倒农田、河塘内、不得随意堆放河坡形成二次污染</w:t>
      </w:r>
      <w:r>
        <w:rPr>
          <w:rFonts w:hint="eastAsia" w:ascii="宋体" w:hAnsi="宋体" w:cs="宋体"/>
          <w:color w:val="auto"/>
          <w:highlight w:val="none"/>
          <w:lang w:val="en-US" w:eastAsia="zh-CN"/>
        </w:rPr>
        <w:t>；</w:t>
      </w:r>
    </w:p>
    <w:p w14:paraId="7F43AD44">
      <w:pPr>
        <w:keepNext w:val="0"/>
        <w:keepLines w:val="0"/>
        <w:pageBreakBefore w:val="0"/>
        <w:widowControl w:val="0"/>
        <w:spacing w:line="500" w:lineRule="exact"/>
        <w:ind w:firstLine="42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w:t>
      </w:r>
      <w:r>
        <w:rPr>
          <w:rFonts w:hint="eastAsia" w:ascii="宋体" w:hAnsi="宋体" w:cs="宋体"/>
          <w:color w:val="auto"/>
          <w:highlight w:val="none"/>
          <w:lang w:val="en-US" w:eastAsia="zh-CN"/>
        </w:rPr>
        <w:t>保</w:t>
      </w:r>
      <w:r>
        <w:rPr>
          <w:rFonts w:hint="eastAsia" w:ascii="宋体" w:hAnsi="宋体" w:eastAsia="宋体" w:cs="宋体"/>
          <w:color w:val="auto"/>
          <w:highlight w:val="none"/>
          <w:lang w:val="en-US" w:eastAsia="zh-CN"/>
        </w:rPr>
        <w:t>护好现有绿化，不得损坏；不得从事与河道保洁工作无关的其他一切经营活动；</w:t>
      </w:r>
    </w:p>
    <w:p w14:paraId="0EB2CD4F">
      <w:pPr>
        <w:keepNext w:val="0"/>
        <w:keepLines w:val="0"/>
        <w:pageBreakBefore w:val="0"/>
        <w:widowControl w:val="0"/>
        <w:spacing w:line="500" w:lineRule="exact"/>
        <w:ind w:firstLine="42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4、积极配合政府重大活动，随时组织突击性保洁；</w:t>
      </w:r>
    </w:p>
    <w:p w14:paraId="7AECBA49">
      <w:pPr>
        <w:keepNext w:val="0"/>
        <w:keepLines w:val="0"/>
        <w:pageBreakBefore w:val="0"/>
        <w:widowControl w:val="0"/>
        <w:spacing w:line="500" w:lineRule="exact"/>
        <w:ind w:firstLine="42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5、所有保洁员上班时间内都必须穿戴救生衣</w:t>
      </w:r>
      <w:r>
        <w:rPr>
          <w:rFonts w:hint="eastAsia" w:ascii="宋体" w:hAnsi="宋体" w:cs="宋体"/>
          <w:color w:val="auto"/>
          <w:highlight w:val="none"/>
          <w:lang w:val="en-US" w:eastAsia="zh-CN"/>
        </w:rPr>
        <w:t>，</w:t>
      </w:r>
      <w:r>
        <w:rPr>
          <w:rFonts w:hint="eastAsia" w:ascii="宋体" w:hAnsi="宋体" w:eastAsia="宋体" w:cs="宋体"/>
          <w:color w:val="auto"/>
          <w:highlight w:val="none"/>
          <w:lang w:val="en-US" w:eastAsia="zh-CN"/>
        </w:rPr>
        <w:t>接受甲方的管理和考核。</w:t>
      </w:r>
    </w:p>
    <w:p w14:paraId="7A1BD19D">
      <w:pPr>
        <w:keepNext w:val="0"/>
        <w:keepLines w:val="0"/>
        <w:pageBreakBefore w:val="0"/>
        <w:widowControl w:val="0"/>
        <w:spacing w:line="500" w:lineRule="exact"/>
        <w:ind w:firstLine="420"/>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四、安全责任</w:t>
      </w:r>
    </w:p>
    <w:p w14:paraId="331EE1FE">
      <w:pPr>
        <w:keepNext w:val="0"/>
        <w:keepLines w:val="0"/>
        <w:pageBreakBefore w:val="0"/>
        <w:widowControl w:val="0"/>
        <w:spacing w:line="500" w:lineRule="exact"/>
        <w:ind w:firstLine="42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中标单位须</w:t>
      </w:r>
      <w:r>
        <w:rPr>
          <w:rFonts w:hint="eastAsia" w:ascii="宋体" w:hAnsi="宋体" w:cs="宋体"/>
          <w:color w:val="auto"/>
          <w:highlight w:val="none"/>
          <w:lang w:val="en-US" w:eastAsia="zh-CN"/>
        </w:rPr>
        <w:t>维护好</w:t>
      </w:r>
      <w:r>
        <w:rPr>
          <w:rFonts w:hint="eastAsia" w:ascii="宋体" w:hAnsi="宋体" w:eastAsia="宋体" w:cs="宋体"/>
          <w:color w:val="auto"/>
          <w:highlight w:val="none"/>
          <w:lang w:val="en-US" w:eastAsia="zh-CN"/>
        </w:rPr>
        <w:t>拦截</w:t>
      </w:r>
      <w:r>
        <w:rPr>
          <w:rFonts w:hint="eastAsia" w:ascii="宋体" w:hAnsi="宋体" w:cs="宋体"/>
          <w:color w:val="auto"/>
          <w:highlight w:val="none"/>
          <w:lang w:val="en-US" w:eastAsia="zh-CN"/>
        </w:rPr>
        <w:t>设施及</w:t>
      </w:r>
      <w:r>
        <w:rPr>
          <w:rFonts w:hint="eastAsia" w:ascii="宋体" w:hAnsi="宋体" w:eastAsia="宋体" w:cs="宋体"/>
          <w:color w:val="auto"/>
          <w:highlight w:val="none"/>
          <w:lang w:val="en-US" w:eastAsia="zh-CN"/>
        </w:rPr>
        <w:t>警示标语、警示灯等警示标志，负责安全管理，并对履约过程中的一切安全工作负全部法律责任，并承担由此而产生的一切经济损失，一切责任与招标人无关。全自动打捞保洁船机、人员都需配备专业的安全消防救生器材。必须建立安全台账。</w:t>
      </w:r>
    </w:p>
    <w:p w14:paraId="2E4898F3">
      <w:pPr>
        <w:keepNext w:val="0"/>
        <w:keepLines w:val="0"/>
        <w:pageBreakBefore w:val="0"/>
        <w:widowControl w:val="0"/>
        <w:spacing w:line="500" w:lineRule="exact"/>
        <w:ind w:firstLine="420"/>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五、考核要求</w:t>
      </w:r>
    </w:p>
    <w:p w14:paraId="6A1161B9">
      <w:pPr>
        <w:keepNext w:val="0"/>
        <w:keepLines w:val="0"/>
        <w:pageBreakBefore w:val="0"/>
        <w:widowControl w:val="0"/>
        <w:spacing w:line="500" w:lineRule="exact"/>
        <w:ind w:firstLine="420"/>
        <w:rPr>
          <w:rFonts w:hint="eastAsia" w:ascii="宋体" w:hAnsi="宋体" w:eastAsia="宋体" w:cs="宋体"/>
          <w:color w:val="auto"/>
          <w:highlight w:val="none"/>
          <w:lang w:val="en-US" w:eastAsia="zh-CN"/>
        </w:rPr>
      </w:pPr>
      <w:bookmarkStart w:id="151" w:name="_Toc49090575"/>
      <w:bookmarkStart w:id="152" w:name="_Toc26554093"/>
      <w:bookmarkStart w:id="153" w:name="_Toc120614281"/>
      <w:r>
        <w:rPr>
          <w:rFonts w:hint="eastAsia" w:ascii="宋体" w:hAnsi="宋体" w:eastAsia="宋体" w:cs="宋体"/>
          <w:b/>
          <w:bCs/>
          <w:color w:val="auto"/>
          <w:highlight w:val="none"/>
          <w:lang w:val="en-US" w:eastAsia="zh-CN"/>
        </w:rPr>
        <w:t>1、甲方对乙方采取随时检查与月度考核相结合的方式，以打分形式考核。考核分数与年度费用结算挂钩，考核分数高于等于95分时不扣除任何费用，考核分数在90分（含）至94分（含）时每扣1分减中标价的1％，考核分数在80分（含）至89分（含）时每扣1分减中标价的1.5％，考核分数在70分（含）至79分（含）时每扣1分减中标价的2％，考核分数70分以下时每扣1分减中标价的2.5％，扣完为止。</w:t>
      </w:r>
    </w:p>
    <w:p w14:paraId="22C1ABF6">
      <w:pPr>
        <w:keepNext w:val="0"/>
        <w:keepLines w:val="0"/>
        <w:pageBreakBefore w:val="0"/>
        <w:widowControl w:val="0"/>
        <w:spacing w:line="500" w:lineRule="exact"/>
        <w:ind w:firstLine="42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2、考核细则见《盐城市大丰区骨干河道水面漂浮物打捞服务项目考核细则表》。</w:t>
      </w:r>
    </w:p>
    <w:p w14:paraId="58688EC4">
      <w:pPr>
        <w:spacing w:before="50" w:line="480" w:lineRule="exact"/>
        <w:ind w:firstLine="180"/>
        <w:rPr>
          <w:rFonts w:hint="eastAsia" w:ascii="宋体" w:hAnsi="宋体" w:eastAsia="宋体" w:cs="宋体"/>
          <w:sz w:val="21"/>
          <w:szCs w:val="18"/>
          <w:lang w:eastAsia="zh-CN"/>
        </w:rPr>
      </w:pPr>
      <w:r>
        <w:rPr>
          <w:rFonts w:hint="eastAsia" w:ascii="宋体" w:hAnsi="宋体"/>
          <w:color w:val="000000"/>
          <w:sz w:val="18"/>
          <w:szCs w:val="18"/>
          <w:lang w:val="en-US" w:eastAsia="zh-CN"/>
        </w:rPr>
        <w:t xml:space="preserve">  </w:t>
      </w:r>
      <w:r>
        <w:rPr>
          <w:rFonts w:hint="eastAsia" w:ascii="宋体" w:hAnsi="宋体" w:cs="宋体"/>
          <w:sz w:val="21"/>
          <w:szCs w:val="18"/>
        </w:rPr>
        <w:t>注：★采购标的的所属行业为</w:t>
      </w:r>
      <w:r>
        <w:rPr>
          <w:rFonts w:hint="eastAsia" w:ascii="宋体" w:hAnsi="宋体" w:cs="宋体"/>
          <w:sz w:val="21"/>
          <w:szCs w:val="18"/>
          <w:u w:val="single"/>
        </w:rPr>
        <w:t>其他未列明服务</w:t>
      </w:r>
      <w:r>
        <w:rPr>
          <w:rFonts w:hint="eastAsia" w:ascii="宋体" w:hAnsi="宋体" w:cs="宋体"/>
          <w:sz w:val="21"/>
          <w:szCs w:val="18"/>
        </w:rPr>
        <w:t>，根据《工业和信息化部、国家统计局、国家发展和改革委员会、财政部关于印发中小企业划型标准规定的通知》（工信部联企业[2011]300号）规定的划分标准填写</w:t>
      </w:r>
      <w:r>
        <w:rPr>
          <w:rFonts w:hint="eastAsia" w:ascii="宋体" w:hAnsi="宋体" w:cs="宋体"/>
          <w:sz w:val="21"/>
          <w:szCs w:val="18"/>
          <w:lang w:eastAsia="zh-CN"/>
        </w:rPr>
        <w:t>。</w:t>
      </w:r>
    </w:p>
    <w:p w14:paraId="3B030656">
      <w:pPr>
        <w:pStyle w:val="6"/>
        <w:rPr>
          <w:rFonts w:hint="eastAsia" w:ascii="宋体" w:hAnsi="宋体" w:cs="宋体"/>
          <w:sz w:val="21"/>
          <w:szCs w:val="18"/>
        </w:rPr>
      </w:pPr>
    </w:p>
    <w:p w14:paraId="58C36847">
      <w:pPr>
        <w:rPr>
          <w:rFonts w:hint="eastAsia" w:ascii="宋体" w:hAnsi="宋体" w:cs="宋体"/>
          <w:sz w:val="21"/>
          <w:szCs w:val="18"/>
        </w:rPr>
      </w:pPr>
    </w:p>
    <w:p w14:paraId="7209353B">
      <w:pPr>
        <w:pStyle w:val="6"/>
        <w:rPr>
          <w:rFonts w:hint="eastAsia" w:ascii="宋体" w:hAnsi="宋体" w:cs="宋体"/>
          <w:sz w:val="21"/>
          <w:szCs w:val="18"/>
        </w:rPr>
      </w:pPr>
    </w:p>
    <w:p w14:paraId="18E6A235">
      <w:pPr>
        <w:rPr>
          <w:rFonts w:hint="eastAsia" w:ascii="宋体" w:hAnsi="宋体" w:cs="宋体"/>
          <w:sz w:val="21"/>
          <w:szCs w:val="18"/>
        </w:rPr>
      </w:pPr>
    </w:p>
    <w:p w14:paraId="00420D45">
      <w:pPr>
        <w:pStyle w:val="6"/>
        <w:rPr>
          <w:rFonts w:hint="eastAsia" w:ascii="宋体" w:hAnsi="宋体" w:cs="宋体"/>
          <w:sz w:val="21"/>
          <w:szCs w:val="18"/>
        </w:rPr>
      </w:pPr>
    </w:p>
    <w:p w14:paraId="0ADF6FDE">
      <w:pPr>
        <w:rPr>
          <w:rFonts w:hint="eastAsia" w:ascii="宋体" w:hAnsi="宋体" w:cs="宋体"/>
          <w:sz w:val="21"/>
          <w:szCs w:val="18"/>
        </w:rPr>
      </w:pPr>
    </w:p>
    <w:p w14:paraId="5D89F044">
      <w:pPr>
        <w:pStyle w:val="6"/>
        <w:rPr>
          <w:rFonts w:hint="eastAsia" w:ascii="宋体" w:hAnsi="宋体" w:cs="宋体"/>
          <w:sz w:val="21"/>
          <w:szCs w:val="18"/>
        </w:rPr>
      </w:pPr>
    </w:p>
    <w:p w14:paraId="3BB752CD">
      <w:pPr>
        <w:rPr>
          <w:rFonts w:hint="eastAsia" w:ascii="宋体" w:hAnsi="宋体" w:cs="宋体"/>
          <w:sz w:val="21"/>
          <w:szCs w:val="18"/>
        </w:rPr>
      </w:pPr>
    </w:p>
    <w:p w14:paraId="5075896F">
      <w:pPr>
        <w:pStyle w:val="6"/>
        <w:rPr>
          <w:rFonts w:hint="eastAsia" w:ascii="宋体" w:hAnsi="宋体" w:cs="宋体"/>
          <w:sz w:val="21"/>
          <w:szCs w:val="18"/>
        </w:rPr>
      </w:pPr>
    </w:p>
    <w:p w14:paraId="19F9FEAC">
      <w:pPr>
        <w:rPr>
          <w:rFonts w:hint="eastAsia" w:ascii="宋体" w:hAnsi="宋体" w:cs="宋体"/>
          <w:sz w:val="21"/>
          <w:szCs w:val="18"/>
        </w:rPr>
      </w:pPr>
    </w:p>
    <w:p w14:paraId="751D74E9">
      <w:pPr>
        <w:pStyle w:val="6"/>
        <w:rPr>
          <w:rFonts w:hint="eastAsia" w:ascii="宋体" w:hAnsi="宋体" w:cs="宋体"/>
          <w:sz w:val="21"/>
          <w:szCs w:val="18"/>
        </w:rPr>
      </w:pPr>
    </w:p>
    <w:p w14:paraId="6E953020">
      <w:pPr>
        <w:rPr>
          <w:rFonts w:hint="eastAsia" w:ascii="宋体" w:hAnsi="宋体" w:cs="宋体"/>
          <w:sz w:val="21"/>
          <w:szCs w:val="18"/>
        </w:rPr>
      </w:pPr>
    </w:p>
    <w:p w14:paraId="48630B86">
      <w:pPr>
        <w:pStyle w:val="6"/>
        <w:rPr>
          <w:rFonts w:hint="eastAsia" w:ascii="宋体" w:hAnsi="宋体" w:cs="宋体"/>
          <w:sz w:val="21"/>
          <w:szCs w:val="18"/>
        </w:rPr>
      </w:pPr>
    </w:p>
    <w:p w14:paraId="157DEEC9">
      <w:pPr>
        <w:rPr>
          <w:rFonts w:hint="eastAsia" w:ascii="宋体" w:hAnsi="宋体" w:cs="宋体"/>
          <w:sz w:val="21"/>
          <w:szCs w:val="18"/>
        </w:rPr>
      </w:pPr>
    </w:p>
    <w:p w14:paraId="6421F45D">
      <w:pPr>
        <w:pStyle w:val="6"/>
        <w:rPr>
          <w:rFonts w:hint="eastAsia" w:ascii="宋体" w:hAnsi="宋体" w:cs="宋体"/>
          <w:sz w:val="21"/>
          <w:szCs w:val="18"/>
        </w:rPr>
      </w:pPr>
    </w:p>
    <w:p w14:paraId="51167120">
      <w:pPr>
        <w:rPr>
          <w:rFonts w:hint="eastAsia" w:ascii="宋体" w:hAnsi="宋体" w:cs="宋体"/>
          <w:sz w:val="21"/>
          <w:szCs w:val="18"/>
        </w:rPr>
      </w:pPr>
    </w:p>
    <w:p w14:paraId="647860D2">
      <w:pPr>
        <w:pStyle w:val="6"/>
        <w:rPr>
          <w:rFonts w:hint="eastAsia" w:ascii="宋体" w:hAnsi="宋体" w:cs="宋体"/>
          <w:sz w:val="21"/>
          <w:szCs w:val="18"/>
        </w:rPr>
      </w:pPr>
    </w:p>
    <w:p w14:paraId="1C5FD016">
      <w:pPr>
        <w:rPr>
          <w:rFonts w:hint="eastAsia" w:ascii="宋体" w:hAnsi="宋体" w:cs="宋体"/>
          <w:sz w:val="21"/>
          <w:szCs w:val="18"/>
        </w:rPr>
      </w:pPr>
    </w:p>
    <w:p w14:paraId="23407E73">
      <w:pPr>
        <w:pStyle w:val="6"/>
        <w:rPr>
          <w:rFonts w:hint="eastAsia" w:ascii="宋体" w:hAnsi="宋体" w:cs="宋体"/>
          <w:sz w:val="21"/>
          <w:szCs w:val="18"/>
        </w:rPr>
      </w:pPr>
    </w:p>
    <w:p w14:paraId="618BBE99">
      <w:pPr>
        <w:rPr>
          <w:rFonts w:hint="eastAsia" w:ascii="宋体" w:hAnsi="宋体" w:cs="宋体"/>
          <w:sz w:val="21"/>
          <w:szCs w:val="18"/>
        </w:rPr>
      </w:pPr>
    </w:p>
    <w:p w14:paraId="39731642">
      <w:pPr>
        <w:pStyle w:val="6"/>
        <w:rPr>
          <w:rFonts w:hint="eastAsia" w:ascii="宋体" w:hAnsi="宋体" w:cs="宋体"/>
          <w:sz w:val="21"/>
          <w:szCs w:val="18"/>
        </w:rPr>
      </w:pPr>
    </w:p>
    <w:p w14:paraId="1350A8A7">
      <w:pPr>
        <w:rPr>
          <w:rFonts w:hint="eastAsia" w:ascii="宋体" w:hAnsi="宋体" w:cs="宋体"/>
          <w:sz w:val="21"/>
          <w:szCs w:val="18"/>
        </w:rPr>
      </w:pPr>
    </w:p>
    <w:p w14:paraId="45B795B8">
      <w:pPr>
        <w:pStyle w:val="6"/>
        <w:rPr>
          <w:rFonts w:hint="eastAsia" w:ascii="宋体" w:hAnsi="宋体" w:cs="宋体"/>
          <w:sz w:val="21"/>
          <w:szCs w:val="18"/>
        </w:rPr>
      </w:pPr>
    </w:p>
    <w:p w14:paraId="4EBC59BD">
      <w:pPr>
        <w:rPr>
          <w:rFonts w:hint="eastAsia" w:ascii="宋体" w:hAnsi="宋体" w:cs="宋体"/>
          <w:sz w:val="21"/>
          <w:szCs w:val="18"/>
        </w:rPr>
      </w:pPr>
    </w:p>
    <w:p w14:paraId="15FEE1A7">
      <w:pPr>
        <w:pStyle w:val="6"/>
        <w:rPr>
          <w:rFonts w:hint="eastAsia" w:ascii="宋体" w:hAnsi="宋体" w:cs="宋体"/>
          <w:sz w:val="21"/>
          <w:szCs w:val="18"/>
        </w:rPr>
      </w:pPr>
    </w:p>
    <w:p w14:paraId="2E212666">
      <w:pPr>
        <w:rPr>
          <w:rFonts w:hint="eastAsia" w:ascii="宋体" w:hAnsi="宋体" w:cs="宋体"/>
          <w:sz w:val="21"/>
          <w:szCs w:val="18"/>
        </w:rPr>
      </w:pPr>
    </w:p>
    <w:p w14:paraId="524CB1F2">
      <w:pPr>
        <w:pStyle w:val="6"/>
        <w:rPr>
          <w:rFonts w:hint="eastAsia" w:ascii="宋体" w:hAnsi="宋体" w:cs="宋体"/>
          <w:sz w:val="21"/>
          <w:szCs w:val="18"/>
        </w:rPr>
      </w:pPr>
    </w:p>
    <w:p w14:paraId="0BC6889F">
      <w:pPr>
        <w:rPr>
          <w:rFonts w:hint="eastAsia" w:ascii="宋体" w:hAnsi="宋体" w:cs="宋体"/>
          <w:sz w:val="21"/>
          <w:szCs w:val="18"/>
        </w:rPr>
      </w:pPr>
    </w:p>
    <w:p w14:paraId="13974969">
      <w:pPr>
        <w:pStyle w:val="6"/>
        <w:rPr>
          <w:rFonts w:hint="eastAsia" w:ascii="宋体" w:hAnsi="宋体" w:cs="宋体"/>
          <w:sz w:val="21"/>
          <w:szCs w:val="18"/>
        </w:rPr>
      </w:pPr>
    </w:p>
    <w:p w14:paraId="54FB9C1E">
      <w:pPr>
        <w:rPr>
          <w:rFonts w:hint="eastAsia" w:ascii="宋体" w:hAnsi="宋体" w:cs="宋体"/>
          <w:sz w:val="21"/>
          <w:szCs w:val="18"/>
        </w:rPr>
      </w:pPr>
    </w:p>
    <w:p w14:paraId="295A8A45">
      <w:pPr>
        <w:pStyle w:val="6"/>
        <w:rPr>
          <w:rFonts w:hint="eastAsia" w:ascii="宋体" w:hAnsi="宋体" w:cs="宋体"/>
          <w:sz w:val="21"/>
          <w:szCs w:val="18"/>
        </w:rPr>
      </w:pPr>
    </w:p>
    <w:p w14:paraId="6D72037C">
      <w:pPr>
        <w:pStyle w:val="6"/>
        <w:rPr>
          <w:rFonts w:hint="eastAsia" w:ascii="宋体" w:hAnsi="宋体" w:cs="宋体"/>
          <w:sz w:val="21"/>
          <w:szCs w:val="18"/>
        </w:rPr>
      </w:pPr>
    </w:p>
    <w:tbl>
      <w:tblPr>
        <w:tblStyle w:val="16"/>
        <w:tblW w:w="9960" w:type="dxa"/>
        <w:tblInd w:w="-18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875"/>
        <w:gridCol w:w="3435"/>
        <w:gridCol w:w="705"/>
        <w:gridCol w:w="2715"/>
        <w:gridCol w:w="1230"/>
      </w:tblGrid>
      <w:tr w14:paraId="104D5C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9960" w:type="dxa"/>
            <w:gridSpan w:val="5"/>
            <w:tcBorders>
              <w:top w:val="nil"/>
              <w:left w:val="nil"/>
              <w:bottom w:val="nil"/>
              <w:right w:val="nil"/>
            </w:tcBorders>
            <w:shd w:val="clear" w:color="auto" w:fill="auto"/>
            <w:vAlign w:val="center"/>
          </w:tcPr>
          <w:p w14:paraId="3EDAD5E4">
            <w:pPr>
              <w:keepNext w:val="0"/>
              <w:keepLines w:val="0"/>
              <w:widowControl/>
              <w:suppressLineNumbers w:val="0"/>
              <w:jc w:val="center"/>
              <w:textAlignment w:val="center"/>
              <w:rPr>
                <w:rFonts w:hint="eastAsia" w:ascii="宋体" w:hAnsi="宋体" w:eastAsia="宋体" w:cs="宋体"/>
                <w:b/>
                <w:bCs/>
                <w:i w:val="0"/>
                <w:iCs w:val="0"/>
                <w:color w:val="000000"/>
                <w:sz w:val="32"/>
                <w:szCs w:val="32"/>
                <w:u w:val="none"/>
              </w:rPr>
            </w:pPr>
            <w:r>
              <w:rPr>
                <w:rFonts w:hint="eastAsia" w:ascii="宋体" w:hAnsi="宋体" w:eastAsia="宋体" w:cs="宋体"/>
                <w:b/>
                <w:bCs/>
                <w:i w:val="0"/>
                <w:iCs w:val="0"/>
                <w:color w:val="000000"/>
                <w:kern w:val="0"/>
                <w:sz w:val="32"/>
                <w:szCs w:val="32"/>
                <w:u w:val="none"/>
                <w:lang w:val="en-US" w:eastAsia="zh-CN" w:bidi="ar"/>
              </w:rPr>
              <w:t>盐城市大丰区骨干河道水面漂浮物打捞服务项目考核细则表</w:t>
            </w:r>
          </w:p>
        </w:tc>
      </w:tr>
      <w:tr w14:paraId="0FD0D4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trPr>
        <w:tc>
          <w:tcPr>
            <w:tcW w:w="1875" w:type="dxa"/>
            <w:tcBorders>
              <w:top w:val="nil"/>
              <w:left w:val="nil"/>
              <w:bottom w:val="nil"/>
              <w:right w:val="nil"/>
            </w:tcBorders>
            <w:shd w:val="clear" w:color="auto" w:fill="auto"/>
            <w:vAlign w:val="center"/>
          </w:tcPr>
          <w:p w14:paraId="3CBDEE41">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保洁单位：</w:t>
            </w:r>
          </w:p>
        </w:tc>
        <w:tc>
          <w:tcPr>
            <w:tcW w:w="8085" w:type="dxa"/>
            <w:gridSpan w:val="4"/>
            <w:tcBorders>
              <w:top w:val="nil"/>
              <w:left w:val="nil"/>
              <w:bottom w:val="nil"/>
              <w:right w:val="nil"/>
            </w:tcBorders>
            <w:shd w:val="clear" w:color="auto" w:fill="auto"/>
            <w:vAlign w:val="center"/>
          </w:tcPr>
          <w:p w14:paraId="7F481398">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                            考核时间：       年   月    日</w:t>
            </w:r>
          </w:p>
        </w:tc>
      </w:tr>
      <w:tr w14:paraId="135159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87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C942EB">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考核项目</w:t>
            </w:r>
          </w:p>
        </w:tc>
        <w:tc>
          <w:tcPr>
            <w:tcW w:w="343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739DD1">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考核要求</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5940EE">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分值</w:t>
            </w:r>
          </w:p>
        </w:tc>
        <w:tc>
          <w:tcPr>
            <w:tcW w:w="27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1395D3">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考核细则</w:t>
            </w:r>
          </w:p>
        </w:tc>
        <w:tc>
          <w:tcPr>
            <w:tcW w:w="12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E037F0">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考核结果</w:t>
            </w:r>
          </w:p>
        </w:tc>
      </w:tr>
      <w:tr w14:paraId="268DF3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35" w:hRule="atLeast"/>
        </w:trPr>
        <w:tc>
          <w:tcPr>
            <w:tcW w:w="187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E1B6D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船机配备</w:t>
            </w:r>
          </w:p>
        </w:tc>
        <w:tc>
          <w:tcPr>
            <w:tcW w:w="343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783BD6">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配备全自动打捞船</w:t>
            </w:r>
            <w:r>
              <w:rPr>
                <w:rStyle w:val="25"/>
                <w:highlight w:val="none"/>
                <w:lang w:val="en-US" w:eastAsia="zh-CN" w:bidi="ar"/>
              </w:rPr>
              <w:t xml:space="preserve">    </w:t>
            </w:r>
            <w:r>
              <w:rPr>
                <w:rStyle w:val="26"/>
                <w:highlight w:val="none"/>
                <w:lang w:val="en-US" w:eastAsia="zh-CN" w:bidi="ar"/>
              </w:rPr>
              <w:t>艘，</w:t>
            </w:r>
            <w:r>
              <w:rPr>
                <w:rStyle w:val="26"/>
                <w:rFonts w:hint="eastAsia"/>
                <w:highlight w:val="none"/>
                <w:lang w:val="en-US" w:eastAsia="zh-CN" w:bidi="ar"/>
              </w:rPr>
              <w:t>挖掘机</w:t>
            </w:r>
            <w:r>
              <w:rPr>
                <w:rStyle w:val="26"/>
                <w:highlight w:val="none"/>
                <w:u w:val="single"/>
                <w:lang w:val="en-US" w:eastAsia="zh-CN" w:bidi="ar"/>
              </w:rPr>
              <w:t xml:space="preserve"> </w:t>
            </w:r>
            <w:r>
              <w:rPr>
                <w:rStyle w:val="25"/>
                <w:highlight w:val="none"/>
                <w:lang w:val="en-US" w:eastAsia="zh-CN" w:bidi="ar"/>
              </w:rPr>
              <w:t xml:space="preserve">  </w:t>
            </w:r>
            <w:r>
              <w:rPr>
                <w:rStyle w:val="26"/>
                <w:rFonts w:hint="eastAsia"/>
                <w:highlight w:val="none"/>
                <w:lang w:val="en-US" w:eastAsia="zh-CN" w:bidi="ar"/>
              </w:rPr>
              <w:t>台</w:t>
            </w:r>
            <w:r>
              <w:rPr>
                <w:rStyle w:val="26"/>
                <w:highlight w:val="none"/>
                <w:lang w:val="en-US" w:eastAsia="zh-CN" w:bidi="ar"/>
              </w:rPr>
              <w:t>，</w:t>
            </w:r>
            <w:r>
              <w:rPr>
                <w:rStyle w:val="26"/>
                <w:color w:val="auto"/>
                <w:highlight w:val="none"/>
                <w:lang w:val="en-US" w:eastAsia="zh-CN" w:bidi="ar"/>
              </w:rPr>
              <w:t>拦截设施</w:t>
            </w:r>
            <w:r>
              <w:rPr>
                <w:rStyle w:val="25"/>
                <w:color w:val="auto"/>
                <w:highlight w:val="none"/>
                <w:lang w:val="en-US" w:eastAsia="zh-CN" w:bidi="ar"/>
              </w:rPr>
              <w:t xml:space="preserve">  </w:t>
            </w:r>
            <w:r>
              <w:rPr>
                <w:rStyle w:val="26"/>
                <w:color w:val="auto"/>
                <w:highlight w:val="none"/>
                <w:lang w:val="en-US" w:eastAsia="zh-CN" w:bidi="ar"/>
              </w:rPr>
              <w:t>套，</w:t>
            </w:r>
            <w:r>
              <w:rPr>
                <w:rStyle w:val="26"/>
                <w:rFonts w:hint="eastAsia"/>
                <w:color w:val="auto"/>
                <w:highlight w:val="none"/>
                <w:lang w:val="en-US" w:eastAsia="zh-CN" w:bidi="ar"/>
              </w:rPr>
              <w:t>拖网设备</w:t>
            </w:r>
            <w:r>
              <w:rPr>
                <w:rStyle w:val="25"/>
                <w:color w:val="auto"/>
                <w:highlight w:val="none"/>
                <w:lang w:val="en-US" w:eastAsia="zh-CN" w:bidi="ar"/>
              </w:rPr>
              <w:t xml:space="preserve">   </w:t>
            </w:r>
            <w:r>
              <w:rPr>
                <w:rStyle w:val="26"/>
                <w:color w:val="auto"/>
                <w:highlight w:val="none"/>
                <w:lang w:val="en-US" w:eastAsia="zh-CN" w:bidi="ar"/>
              </w:rPr>
              <w:t>套</w:t>
            </w:r>
            <w:r>
              <w:rPr>
                <w:rStyle w:val="26"/>
                <w:highlight w:val="none"/>
                <w:lang w:val="en-US" w:eastAsia="zh-CN" w:bidi="ar"/>
              </w:rPr>
              <w:t>，船机状态良好（按中标人投标文件中设备填写）。</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FB08C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15</w:t>
            </w:r>
          </w:p>
        </w:tc>
        <w:tc>
          <w:tcPr>
            <w:tcW w:w="27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43F804">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船机因故障不能出勤1船/次扣1分</w:t>
            </w:r>
            <w:r>
              <w:rPr>
                <w:rFonts w:hint="eastAsia" w:ascii="宋体" w:hAnsi="宋体" w:cs="宋体"/>
                <w:i w:val="0"/>
                <w:iCs w:val="0"/>
                <w:color w:val="000000"/>
                <w:kern w:val="0"/>
                <w:sz w:val="21"/>
                <w:szCs w:val="21"/>
                <w:highlight w:val="none"/>
                <w:u w:val="none"/>
                <w:lang w:val="en-US" w:eastAsia="zh-CN" w:bidi="ar"/>
              </w:rPr>
              <w:t>（如两小时内备用船机能到达现场并配合使用的不扣分）</w:t>
            </w:r>
            <w:r>
              <w:rPr>
                <w:rFonts w:hint="eastAsia" w:ascii="宋体" w:hAnsi="宋体" w:eastAsia="宋体" w:cs="宋体"/>
                <w:i w:val="0"/>
                <w:iCs w:val="0"/>
                <w:color w:val="000000"/>
                <w:kern w:val="0"/>
                <w:sz w:val="21"/>
                <w:szCs w:val="21"/>
                <w:highlight w:val="none"/>
                <w:u w:val="none"/>
                <w:lang w:val="en-US" w:eastAsia="zh-CN" w:bidi="ar"/>
              </w:rPr>
              <w:t>。</w:t>
            </w:r>
          </w:p>
        </w:tc>
        <w:tc>
          <w:tcPr>
            <w:tcW w:w="12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E7B93C">
            <w:pPr>
              <w:jc w:val="center"/>
              <w:rPr>
                <w:rFonts w:hint="eastAsia" w:ascii="宋体" w:hAnsi="宋体" w:eastAsia="宋体" w:cs="宋体"/>
                <w:b/>
                <w:bCs/>
                <w:i w:val="0"/>
                <w:iCs w:val="0"/>
                <w:color w:val="000000"/>
                <w:sz w:val="21"/>
                <w:szCs w:val="21"/>
                <w:highlight w:val="none"/>
                <w:u w:val="none"/>
              </w:rPr>
            </w:pPr>
          </w:p>
        </w:tc>
      </w:tr>
      <w:tr w14:paraId="12354D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60" w:hRule="atLeast"/>
        </w:trPr>
        <w:tc>
          <w:tcPr>
            <w:tcW w:w="187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4C9EB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人员配备</w:t>
            </w:r>
          </w:p>
        </w:tc>
        <w:tc>
          <w:tcPr>
            <w:tcW w:w="343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609C9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配备项目负责人、安全管理员、每台船机都需配备专业操作人员，要有意外伤害保险。船机操作人员必须具有相应操作证。（按中标人投标文件中配备人员数量）。</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2245C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27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4FC13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操作人员缺勤1人/次扣1分、无操作证1人/次扣0.5分。</w:t>
            </w:r>
          </w:p>
        </w:tc>
        <w:tc>
          <w:tcPr>
            <w:tcW w:w="12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E02208">
            <w:pPr>
              <w:jc w:val="center"/>
              <w:rPr>
                <w:rFonts w:hint="eastAsia" w:ascii="宋体" w:hAnsi="宋体" w:eastAsia="宋体" w:cs="宋体"/>
                <w:i w:val="0"/>
                <w:iCs w:val="0"/>
                <w:color w:val="000000"/>
                <w:sz w:val="21"/>
                <w:szCs w:val="21"/>
                <w:u w:val="none"/>
              </w:rPr>
            </w:pPr>
          </w:p>
        </w:tc>
      </w:tr>
      <w:tr w14:paraId="79C7CE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60" w:hRule="atLeast"/>
        </w:trPr>
        <w:tc>
          <w:tcPr>
            <w:tcW w:w="187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B921D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安全配备</w:t>
            </w:r>
          </w:p>
        </w:tc>
        <w:tc>
          <w:tcPr>
            <w:tcW w:w="343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8A0B8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打捞船机操作人员都需配备专业的安全消防救生器材（包括但不限于救生衣、救生绳、救生圈、救生杆、灭火器）。</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53E01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27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69338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安全消防救生设施配备不到位不得分。</w:t>
            </w:r>
          </w:p>
        </w:tc>
        <w:tc>
          <w:tcPr>
            <w:tcW w:w="12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34974C">
            <w:pPr>
              <w:jc w:val="center"/>
              <w:rPr>
                <w:rFonts w:hint="eastAsia" w:ascii="宋体" w:hAnsi="宋体" w:eastAsia="宋体" w:cs="宋体"/>
                <w:i w:val="0"/>
                <w:iCs w:val="0"/>
                <w:color w:val="000000"/>
                <w:sz w:val="21"/>
                <w:szCs w:val="21"/>
                <w:u w:val="none"/>
              </w:rPr>
            </w:pPr>
          </w:p>
        </w:tc>
      </w:tr>
      <w:tr w14:paraId="6E3435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95" w:hRule="atLeast"/>
        </w:trPr>
        <w:tc>
          <w:tcPr>
            <w:tcW w:w="187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33F93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软件资料</w:t>
            </w:r>
            <w:r>
              <w:rPr>
                <w:rFonts w:hint="eastAsia" w:ascii="宋体" w:hAnsi="宋体" w:cs="宋体"/>
                <w:i w:val="0"/>
                <w:iCs w:val="0"/>
                <w:color w:val="000000"/>
                <w:kern w:val="0"/>
                <w:sz w:val="21"/>
                <w:szCs w:val="21"/>
                <w:u w:val="none"/>
                <w:lang w:val="en-US" w:eastAsia="zh-CN" w:bidi="ar"/>
              </w:rPr>
              <w:t>（每月考核时提供）</w:t>
            </w:r>
          </w:p>
        </w:tc>
        <w:tc>
          <w:tcPr>
            <w:tcW w:w="343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CC4AF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安全台账、船机使用保养维修台账、每日漂浮物打捞台账、清运处置台账齐全，每周提供一次河道全长保洁效果影像资料。</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106ED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27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A5511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缺1项扣2分。</w:t>
            </w:r>
          </w:p>
        </w:tc>
        <w:tc>
          <w:tcPr>
            <w:tcW w:w="12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CC2894">
            <w:pPr>
              <w:jc w:val="center"/>
              <w:rPr>
                <w:rFonts w:hint="eastAsia" w:ascii="宋体" w:hAnsi="宋体" w:eastAsia="宋体" w:cs="宋体"/>
                <w:i w:val="0"/>
                <w:iCs w:val="0"/>
                <w:color w:val="000000"/>
                <w:sz w:val="21"/>
                <w:szCs w:val="21"/>
                <w:u w:val="none"/>
              </w:rPr>
            </w:pPr>
          </w:p>
        </w:tc>
      </w:tr>
      <w:tr w14:paraId="0F516D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66" w:hRule="atLeast"/>
        </w:trPr>
        <w:tc>
          <w:tcPr>
            <w:tcW w:w="1875" w:type="dxa"/>
            <w:vMerge w:val="restart"/>
            <w:tcBorders>
              <w:top w:val="single" w:color="000000" w:sz="4" w:space="0"/>
              <w:left w:val="single" w:color="000000" w:sz="4" w:space="0"/>
              <w:right w:val="single" w:color="000000" w:sz="4" w:space="0"/>
            </w:tcBorders>
            <w:shd w:val="clear" w:color="auto" w:fill="FFFFFF"/>
            <w:vAlign w:val="center"/>
          </w:tcPr>
          <w:p w14:paraId="05C6885B">
            <w:pPr>
              <w:jc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保洁打捞效果</w:t>
            </w:r>
          </w:p>
        </w:tc>
        <w:tc>
          <w:tcPr>
            <w:tcW w:w="343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6F067E">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河道水面每100米长漂浮物累计面积不得大于50平方米。</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15867D">
            <w:pPr>
              <w:keepNext w:val="0"/>
              <w:keepLines w:val="0"/>
              <w:widowControl/>
              <w:suppressLineNumbers w:val="0"/>
              <w:jc w:val="center"/>
              <w:textAlignment w:val="center"/>
              <w:rPr>
                <w:rFonts w:hint="default" w:ascii="宋体" w:hAnsi="宋体" w:eastAsia="宋体" w:cs="宋体"/>
                <w:i w:val="0"/>
                <w:iCs w:val="0"/>
                <w:color w:val="000000"/>
                <w:sz w:val="21"/>
                <w:szCs w:val="21"/>
                <w:highlight w:val="none"/>
                <w:u w:val="none"/>
                <w:lang w:val="en-US"/>
              </w:rPr>
            </w:pPr>
            <w:r>
              <w:rPr>
                <w:rFonts w:hint="eastAsia" w:ascii="宋体" w:hAnsi="宋体" w:cs="宋体"/>
                <w:i w:val="0"/>
                <w:iCs w:val="0"/>
                <w:color w:val="000000"/>
                <w:kern w:val="0"/>
                <w:sz w:val="21"/>
                <w:szCs w:val="21"/>
                <w:highlight w:val="none"/>
                <w:u w:val="none"/>
                <w:lang w:val="en-US" w:eastAsia="zh-CN" w:bidi="ar"/>
              </w:rPr>
              <w:t>20</w:t>
            </w:r>
          </w:p>
        </w:tc>
        <w:tc>
          <w:tcPr>
            <w:tcW w:w="27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15B280">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随时检查，每100米长水域发现漂浮物累计面积超出50平方米且在4小时内未及时清理干净的1次扣1分、超出100平方米且在8小时内未及时清理干净的1次扣2分。</w:t>
            </w:r>
          </w:p>
        </w:tc>
        <w:tc>
          <w:tcPr>
            <w:tcW w:w="12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0BF532">
            <w:pPr>
              <w:jc w:val="center"/>
              <w:rPr>
                <w:rFonts w:hint="eastAsia" w:ascii="宋体" w:hAnsi="宋体" w:eastAsia="宋体" w:cs="宋体"/>
                <w:i w:val="0"/>
                <w:iCs w:val="0"/>
                <w:color w:val="000000"/>
                <w:sz w:val="21"/>
                <w:szCs w:val="21"/>
                <w:highlight w:val="none"/>
                <w:u w:val="none"/>
              </w:rPr>
            </w:pPr>
          </w:p>
        </w:tc>
      </w:tr>
      <w:tr w14:paraId="5AB615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55" w:hRule="atLeast"/>
        </w:trPr>
        <w:tc>
          <w:tcPr>
            <w:tcW w:w="187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0C25254">
            <w:pPr>
              <w:jc w:val="center"/>
              <w:rPr>
                <w:rFonts w:hint="eastAsia" w:ascii="宋体" w:hAnsi="宋体" w:eastAsia="宋体" w:cs="宋体"/>
                <w:i w:val="0"/>
                <w:iCs w:val="0"/>
                <w:color w:val="000000"/>
                <w:sz w:val="21"/>
                <w:szCs w:val="21"/>
                <w:u w:val="none"/>
              </w:rPr>
            </w:pPr>
          </w:p>
        </w:tc>
        <w:tc>
          <w:tcPr>
            <w:tcW w:w="343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81D1D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所打捞的漂浮物，甲方不提供堆放场地，乙方堆积的漂浮物</w:t>
            </w:r>
            <w:r>
              <w:rPr>
                <w:rFonts w:hint="eastAsia" w:ascii="宋体" w:hAnsi="宋体" w:eastAsia="宋体" w:cs="宋体"/>
                <w:i w:val="0"/>
                <w:iCs w:val="0"/>
                <w:color w:val="auto"/>
                <w:kern w:val="0"/>
                <w:sz w:val="21"/>
                <w:szCs w:val="21"/>
                <w:highlight w:val="none"/>
                <w:u w:val="none"/>
                <w:lang w:val="en-US" w:eastAsia="zh-CN" w:bidi="ar"/>
              </w:rPr>
              <w:t>必须</w:t>
            </w:r>
            <w:r>
              <w:rPr>
                <w:rStyle w:val="27"/>
                <w:color w:val="auto"/>
                <w:highlight w:val="none"/>
                <w:lang w:val="en-US" w:eastAsia="zh-CN" w:bidi="ar"/>
              </w:rPr>
              <w:t>在</w:t>
            </w:r>
            <w:r>
              <w:rPr>
                <w:rStyle w:val="27"/>
                <w:rFonts w:hint="eastAsia"/>
                <w:color w:val="auto"/>
                <w:highlight w:val="none"/>
                <w:lang w:val="en-US" w:eastAsia="zh-CN" w:bidi="ar"/>
              </w:rPr>
              <w:t>5日内</w:t>
            </w:r>
            <w:r>
              <w:rPr>
                <w:rStyle w:val="27"/>
                <w:color w:val="auto"/>
                <w:highlight w:val="none"/>
                <w:lang w:val="en-US" w:eastAsia="zh-CN" w:bidi="ar"/>
              </w:rPr>
              <w:t>清运无害化处置</w:t>
            </w:r>
            <w:r>
              <w:rPr>
                <w:rStyle w:val="26"/>
                <w:color w:val="auto"/>
                <w:highlight w:val="none"/>
                <w:lang w:val="en-US" w:eastAsia="zh-CN" w:bidi="ar"/>
              </w:rPr>
              <w:t>，避免污</w:t>
            </w:r>
            <w:r>
              <w:rPr>
                <w:rStyle w:val="26"/>
                <w:lang w:val="en-US" w:eastAsia="zh-CN" w:bidi="ar"/>
              </w:rPr>
              <w:t>染环境，不得随地掩埋或随意倾倒农田、河塘内、不得随意堆放河坡形成二次污染。</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25622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27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DB32C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随时检查，当天的漂浮物未清运发现1次扣2分、随地掩埋或随意倾倒农田、河塘里发现1次扣3分。</w:t>
            </w:r>
          </w:p>
        </w:tc>
        <w:tc>
          <w:tcPr>
            <w:tcW w:w="12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7FE090">
            <w:pPr>
              <w:jc w:val="center"/>
              <w:rPr>
                <w:rFonts w:hint="eastAsia" w:ascii="宋体" w:hAnsi="宋体" w:eastAsia="宋体" w:cs="宋体"/>
                <w:i w:val="0"/>
                <w:iCs w:val="0"/>
                <w:color w:val="000000"/>
                <w:sz w:val="21"/>
                <w:szCs w:val="21"/>
                <w:u w:val="none"/>
              </w:rPr>
            </w:pPr>
          </w:p>
        </w:tc>
      </w:tr>
      <w:tr w14:paraId="2CAF30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5" w:hRule="atLeast"/>
        </w:trPr>
        <w:tc>
          <w:tcPr>
            <w:tcW w:w="1875"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9F20D6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投诉、曝光、交办</w:t>
            </w:r>
          </w:p>
        </w:tc>
        <w:tc>
          <w:tcPr>
            <w:tcW w:w="3435"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CAAF31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群众投诉、媒体曝光的</w:t>
            </w:r>
          </w:p>
        </w:tc>
        <w:tc>
          <w:tcPr>
            <w:tcW w:w="705"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7A499D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2715"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132778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经调查属实，群众投诉1次扣1分，区级媒体曝光1次扣2分、市级及以上媒体曝光1次扣3分。</w:t>
            </w:r>
          </w:p>
        </w:tc>
        <w:tc>
          <w:tcPr>
            <w:tcW w:w="123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42ABF14">
            <w:pPr>
              <w:jc w:val="center"/>
              <w:rPr>
                <w:rFonts w:hint="eastAsia" w:ascii="宋体" w:hAnsi="宋体" w:eastAsia="宋体" w:cs="宋体"/>
                <w:i w:val="0"/>
                <w:iCs w:val="0"/>
                <w:color w:val="000000"/>
                <w:sz w:val="21"/>
                <w:szCs w:val="21"/>
                <w:u w:val="none"/>
              </w:rPr>
            </w:pPr>
          </w:p>
        </w:tc>
      </w:tr>
      <w:tr w14:paraId="5EB93F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187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B3C8D90">
            <w:pPr>
              <w:jc w:val="center"/>
              <w:rPr>
                <w:rFonts w:hint="eastAsia" w:ascii="宋体" w:hAnsi="宋体" w:eastAsia="宋体" w:cs="宋体"/>
                <w:i w:val="0"/>
                <w:iCs w:val="0"/>
                <w:color w:val="000000"/>
                <w:sz w:val="21"/>
                <w:szCs w:val="21"/>
                <w:u w:val="none"/>
              </w:rPr>
            </w:pPr>
          </w:p>
        </w:tc>
        <w:tc>
          <w:tcPr>
            <w:tcW w:w="343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F97A735">
            <w:pPr>
              <w:jc w:val="left"/>
              <w:rPr>
                <w:rFonts w:hint="eastAsia" w:ascii="宋体" w:hAnsi="宋体" w:eastAsia="宋体" w:cs="宋体"/>
                <w:i w:val="0"/>
                <w:iCs w:val="0"/>
                <w:color w:val="000000"/>
                <w:sz w:val="21"/>
                <w:szCs w:val="21"/>
                <w:u w:val="none"/>
              </w:rPr>
            </w:pPr>
          </w:p>
        </w:tc>
        <w:tc>
          <w:tcPr>
            <w:tcW w:w="70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8A48799">
            <w:pPr>
              <w:jc w:val="center"/>
              <w:rPr>
                <w:rFonts w:hint="eastAsia" w:ascii="宋体" w:hAnsi="宋体" w:eastAsia="宋体" w:cs="宋体"/>
                <w:i w:val="0"/>
                <w:iCs w:val="0"/>
                <w:color w:val="000000"/>
                <w:sz w:val="21"/>
                <w:szCs w:val="21"/>
                <w:u w:val="none"/>
              </w:rPr>
            </w:pPr>
          </w:p>
        </w:tc>
        <w:tc>
          <w:tcPr>
            <w:tcW w:w="271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0407F37">
            <w:pPr>
              <w:jc w:val="left"/>
              <w:rPr>
                <w:rFonts w:hint="eastAsia" w:ascii="宋体" w:hAnsi="宋体" w:eastAsia="宋体" w:cs="宋体"/>
                <w:i w:val="0"/>
                <w:iCs w:val="0"/>
                <w:color w:val="000000"/>
                <w:sz w:val="21"/>
                <w:szCs w:val="21"/>
                <w:u w:val="none"/>
              </w:rPr>
            </w:pP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9DA3ED1">
            <w:pPr>
              <w:jc w:val="center"/>
              <w:rPr>
                <w:rFonts w:hint="eastAsia" w:ascii="宋体" w:hAnsi="宋体" w:eastAsia="宋体" w:cs="宋体"/>
                <w:i w:val="0"/>
                <w:iCs w:val="0"/>
                <w:color w:val="000000"/>
                <w:sz w:val="21"/>
                <w:szCs w:val="21"/>
                <w:u w:val="none"/>
              </w:rPr>
            </w:pPr>
          </w:p>
        </w:tc>
      </w:tr>
      <w:tr w14:paraId="715F0A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5" w:hRule="atLeast"/>
        </w:trPr>
        <w:tc>
          <w:tcPr>
            <w:tcW w:w="187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09DB404">
            <w:pPr>
              <w:jc w:val="center"/>
              <w:rPr>
                <w:rFonts w:hint="eastAsia" w:ascii="宋体" w:hAnsi="宋体" w:eastAsia="宋体" w:cs="宋体"/>
                <w:i w:val="0"/>
                <w:iCs w:val="0"/>
                <w:color w:val="000000"/>
                <w:sz w:val="21"/>
                <w:szCs w:val="21"/>
                <w:u w:val="none"/>
              </w:rPr>
            </w:pPr>
          </w:p>
        </w:tc>
        <w:tc>
          <w:tcPr>
            <w:tcW w:w="343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CEE4A9">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领导交办</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6219B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w:t>
            </w:r>
          </w:p>
        </w:tc>
        <w:tc>
          <w:tcPr>
            <w:tcW w:w="27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A3CC63">
            <w:pPr>
              <w:keepNext w:val="0"/>
              <w:keepLines w:val="0"/>
              <w:widowControl/>
              <w:suppressLineNumbers w:val="0"/>
              <w:jc w:val="both"/>
              <w:textAlignment w:val="center"/>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rPr>
              <w:t>市级及以上领导、区主要领导发现并交办1次扣3分，其他区领导发现并交办一次扣2分，相关部门发现并交办1次扣1分</w:t>
            </w:r>
            <w:r>
              <w:rPr>
                <w:rFonts w:hint="eastAsia" w:ascii="宋体" w:hAnsi="宋体" w:cs="宋体"/>
                <w:i w:val="0"/>
                <w:iCs w:val="0"/>
                <w:color w:val="000000"/>
                <w:sz w:val="21"/>
                <w:szCs w:val="21"/>
                <w:highlight w:val="none"/>
                <w:u w:val="none"/>
                <w:lang w:eastAsia="zh-CN"/>
              </w:rPr>
              <w:t>。</w:t>
            </w:r>
          </w:p>
        </w:tc>
        <w:tc>
          <w:tcPr>
            <w:tcW w:w="12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28EB6B">
            <w:pPr>
              <w:jc w:val="center"/>
              <w:rPr>
                <w:rFonts w:hint="eastAsia" w:ascii="宋体" w:hAnsi="宋体" w:eastAsia="宋体" w:cs="宋体"/>
                <w:i w:val="0"/>
                <w:iCs w:val="0"/>
                <w:color w:val="000000"/>
                <w:sz w:val="21"/>
                <w:szCs w:val="21"/>
                <w:u w:val="none"/>
              </w:rPr>
            </w:pPr>
          </w:p>
        </w:tc>
      </w:tr>
      <w:tr w14:paraId="403B2C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31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3B9C15F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合  计</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6E9BC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27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D0FC6B">
            <w:pPr>
              <w:jc w:val="left"/>
              <w:rPr>
                <w:rFonts w:hint="eastAsia" w:ascii="宋体" w:hAnsi="宋体" w:eastAsia="宋体" w:cs="宋体"/>
                <w:i w:val="0"/>
                <w:iCs w:val="0"/>
                <w:color w:val="000000"/>
                <w:sz w:val="21"/>
                <w:szCs w:val="21"/>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A28BA2">
            <w:pPr>
              <w:jc w:val="both"/>
              <w:rPr>
                <w:rFonts w:hint="eastAsia" w:ascii="宋体" w:hAnsi="宋体" w:eastAsia="宋体" w:cs="宋体"/>
                <w:i w:val="0"/>
                <w:iCs w:val="0"/>
                <w:color w:val="000000"/>
                <w:sz w:val="21"/>
                <w:szCs w:val="21"/>
                <w:u w:val="none"/>
              </w:rPr>
            </w:pPr>
          </w:p>
        </w:tc>
      </w:tr>
      <w:tr w14:paraId="7DE41F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1875" w:type="dxa"/>
            <w:tcBorders>
              <w:top w:val="nil"/>
              <w:left w:val="nil"/>
              <w:bottom w:val="nil"/>
              <w:right w:val="nil"/>
            </w:tcBorders>
            <w:shd w:val="clear" w:color="auto" w:fill="auto"/>
            <w:noWrap/>
            <w:vAlign w:val="center"/>
          </w:tcPr>
          <w:p w14:paraId="0E1F17D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考核人（签字）：</w:t>
            </w:r>
          </w:p>
        </w:tc>
        <w:tc>
          <w:tcPr>
            <w:tcW w:w="3435" w:type="dxa"/>
            <w:tcBorders>
              <w:top w:val="nil"/>
              <w:left w:val="nil"/>
              <w:bottom w:val="nil"/>
              <w:right w:val="nil"/>
            </w:tcBorders>
            <w:shd w:val="clear" w:color="auto" w:fill="auto"/>
            <w:noWrap/>
            <w:vAlign w:val="center"/>
          </w:tcPr>
          <w:p w14:paraId="2F5E1C14">
            <w:pPr>
              <w:jc w:val="both"/>
              <w:rPr>
                <w:rFonts w:hint="eastAsia" w:ascii="宋体" w:hAnsi="宋体" w:eastAsia="宋体" w:cs="宋体"/>
                <w:i w:val="0"/>
                <w:iCs w:val="0"/>
                <w:color w:val="000000"/>
                <w:sz w:val="21"/>
                <w:szCs w:val="21"/>
                <w:u w:val="none"/>
              </w:rPr>
            </w:pPr>
          </w:p>
        </w:tc>
        <w:tc>
          <w:tcPr>
            <w:tcW w:w="705" w:type="dxa"/>
            <w:tcBorders>
              <w:top w:val="nil"/>
              <w:left w:val="nil"/>
              <w:bottom w:val="nil"/>
              <w:right w:val="nil"/>
            </w:tcBorders>
            <w:shd w:val="clear" w:color="auto" w:fill="auto"/>
            <w:noWrap/>
            <w:vAlign w:val="center"/>
          </w:tcPr>
          <w:p w14:paraId="35122ACA">
            <w:pPr>
              <w:jc w:val="both"/>
              <w:rPr>
                <w:rFonts w:hint="eastAsia" w:ascii="宋体" w:hAnsi="宋体" w:eastAsia="宋体" w:cs="宋体"/>
                <w:i w:val="0"/>
                <w:iCs w:val="0"/>
                <w:color w:val="000000"/>
                <w:sz w:val="21"/>
                <w:szCs w:val="21"/>
                <w:u w:val="none"/>
              </w:rPr>
            </w:pPr>
          </w:p>
        </w:tc>
        <w:tc>
          <w:tcPr>
            <w:tcW w:w="2715" w:type="dxa"/>
            <w:tcBorders>
              <w:top w:val="nil"/>
              <w:left w:val="nil"/>
              <w:bottom w:val="nil"/>
              <w:right w:val="nil"/>
            </w:tcBorders>
            <w:shd w:val="clear" w:color="auto" w:fill="auto"/>
            <w:noWrap/>
            <w:vAlign w:val="center"/>
          </w:tcPr>
          <w:p w14:paraId="1F911DA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被考核人（签字）：</w:t>
            </w:r>
          </w:p>
        </w:tc>
        <w:tc>
          <w:tcPr>
            <w:tcW w:w="1230" w:type="dxa"/>
            <w:tcBorders>
              <w:top w:val="nil"/>
              <w:left w:val="nil"/>
              <w:bottom w:val="nil"/>
              <w:right w:val="nil"/>
            </w:tcBorders>
            <w:shd w:val="clear" w:color="auto" w:fill="auto"/>
            <w:noWrap/>
            <w:vAlign w:val="center"/>
          </w:tcPr>
          <w:p w14:paraId="5BB8CE0F">
            <w:pPr>
              <w:jc w:val="both"/>
              <w:rPr>
                <w:rFonts w:hint="eastAsia" w:ascii="宋体" w:hAnsi="宋体" w:eastAsia="宋体" w:cs="宋体"/>
                <w:i w:val="0"/>
                <w:iCs w:val="0"/>
                <w:color w:val="000000"/>
                <w:sz w:val="21"/>
                <w:szCs w:val="21"/>
                <w:u w:val="none"/>
              </w:rPr>
            </w:pPr>
          </w:p>
        </w:tc>
      </w:tr>
      <w:tr w14:paraId="3F1210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9960" w:type="dxa"/>
            <w:gridSpan w:val="5"/>
            <w:tcBorders>
              <w:top w:val="nil"/>
              <w:left w:val="nil"/>
              <w:bottom w:val="nil"/>
              <w:right w:val="nil"/>
            </w:tcBorders>
            <w:shd w:val="clear" w:color="auto" w:fill="auto"/>
            <w:noWrap/>
            <w:vAlign w:val="center"/>
          </w:tcPr>
          <w:p w14:paraId="0F50E70D">
            <w:pPr>
              <w:jc w:val="both"/>
              <w:rPr>
                <w:rFonts w:hint="eastAsia" w:ascii="宋体" w:hAnsi="宋体" w:eastAsia="宋体" w:cs="宋体"/>
                <w:b/>
                <w:bCs/>
                <w:i w:val="0"/>
                <w:iCs w:val="0"/>
                <w:color w:val="000000"/>
                <w:sz w:val="21"/>
                <w:szCs w:val="21"/>
                <w:u w:val="none"/>
              </w:rPr>
            </w:pPr>
            <w:r>
              <w:rPr>
                <w:rFonts w:hint="eastAsia" w:ascii="宋体" w:hAnsi="宋体" w:cs="宋体"/>
                <w:b/>
                <w:bCs/>
                <w:i w:val="0"/>
                <w:iCs w:val="0"/>
                <w:color w:val="000000"/>
                <w:kern w:val="0"/>
                <w:sz w:val="21"/>
                <w:szCs w:val="21"/>
                <w:u w:val="none"/>
                <w:lang w:val="en-US" w:eastAsia="zh-CN" w:bidi="ar"/>
              </w:rPr>
              <w:t>备注：区水利局每月定期或不定期牵头会同属地相关单位对打捞保洁情况进行考核，属地工作情况由相关镇政府安排属地水利、农业农村等部门人员联合签名确认。考核最终的得分以沿线各板块(断面)考核平均分为准，作为付款依据。</w:t>
            </w:r>
          </w:p>
        </w:tc>
      </w:tr>
    </w:tbl>
    <w:p w14:paraId="1A728353">
      <w:pPr>
        <w:pStyle w:val="2"/>
        <w:jc w:val="center"/>
        <w:rPr>
          <w:rFonts w:hint="eastAsia" w:ascii="黑体" w:eastAsia="黑体"/>
          <w:bCs/>
          <w:sz w:val="44"/>
        </w:rPr>
      </w:pPr>
      <w:r>
        <w:rPr>
          <w:rFonts w:hint="eastAsia" w:ascii="黑体" w:eastAsia="黑体"/>
          <w:bCs/>
          <w:sz w:val="44"/>
        </w:rPr>
        <w:t>第</w:t>
      </w:r>
      <w:r>
        <w:rPr>
          <w:rFonts w:hint="eastAsia" w:ascii="黑体" w:eastAsia="黑体"/>
          <w:bCs/>
          <w:sz w:val="44"/>
          <w:lang w:val="en-US" w:eastAsia="zh-CN"/>
        </w:rPr>
        <w:t>四</w:t>
      </w:r>
      <w:r>
        <w:rPr>
          <w:rFonts w:hint="eastAsia" w:ascii="黑体" w:eastAsia="黑体"/>
          <w:bCs/>
          <w:sz w:val="44"/>
        </w:rPr>
        <w:t xml:space="preserve">章  </w:t>
      </w:r>
      <w:r>
        <w:rPr>
          <w:rFonts w:hint="eastAsia" w:ascii="黑体" w:eastAsia="黑体"/>
          <w:b/>
          <w:bCs/>
          <w:sz w:val="44"/>
        </w:rPr>
        <w:t>定标原则与评标标准</w:t>
      </w:r>
    </w:p>
    <w:bookmarkEnd w:id="151"/>
    <w:bookmarkEnd w:id="152"/>
    <w:bookmarkEnd w:id="153"/>
    <w:p w14:paraId="3C2281CA">
      <w:pPr>
        <w:rPr>
          <w:rFonts w:hint="eastAsia"/>
        </w:rPr>
      </w:pPr>
    </w:p>
    <w:p w14:paraId="4E80092B">
      <w:pPr>
        <w:spacing w:line="360" w:lineRule="auto"/>
        <w:rPr>
          <w:rFonts w:hint="eastAsia" w:ascii="宋体" w:hAnsi="宋体" w:cs="Courier New"/>
          <w:b/>
          <w:bCs/>
          <w:color w:val="auto"/>
        </w:rPr>
      </w:pPr>
      <w:r>
        <w:rPr>
          <w:rFonts w:hint="eastAsia" w:ascii="宋体" w:hAnsi="宋体" w:cs="Courier New"/>
          <w:b/>
          <w:bCs/>
          <w:color w:val="auto"/>
        </w:rPr>
        <w:t>一、定标原则</w:t>
      </w:r>
    </w:p>
    <w:p w14:paraId="6F07061E">
      <w:pPr>
        <w:spacing w:line="500" w:lineRule="exact"/>
        <w:ind w:firstLine="440"/>
        <w:rPr>
          <w:rFonts w:ascii="宋体" w:hAnsi="宋体" w:cs="Arial"/>
          <w:color w:val="auto"/>
          <w:sz w:val="22"/>
          <w:szCs w:val="22"/>
        </w:rPr>
      </w:pPr>
      <w:r>
        <w:rPr>
          <w:rFonts w:hint="eastAsia" w:ascii="宋体" w:hAnsi="宋体" w:cs="Courier New"/>
          <w:bCs/>
          <w:color w:val="auto"/>
          <w:sz w:val="22"/>
          <w:szCs w:val="22"/>
        </w:rPr>
        <w:t>本项目采用</w:t>
      </w:r>
      <w:r>
        <w:rPr>
          <w:rFonts w:hint="eastAsia" w:ascii="宋体" w:hAnsi="宋体" w:cs="Courier New"/>
          <w:bCs/>
          <w:color w:val="auto"/>
          <w:sz w:val="22"/>
          <w:szCs w:val="22"/>
          <w:u w:val="single"/>
        </w:rPr>
        <w:t>综合评分法</w:t>
      </w:r>
      <w:r>
        <w:rPr>
          <w:rFonts w:hint="eastAsia" w:ascii="宋体" w:hAnsi="宋体" w:cs="Courier New"/>
          <w:bCs/>
          <w:color w:val="auto"/>
          <w:sz w:val="22"/>
          <w:szCs w:val="22"/>
        </w:rPr>
        <w:t>。</w:t>
      </w:r>
      <w:r>
        <w:rPr>
          <w:rFonts w:hint="eastAsia" w:ascii="宋体" w:hAnsi="宋体" w:cs="Arial"/>
          <w:color w:val="auto"/>
          <w:sz w:val="22"/>
          <w:szCs w:val="22"/>
        </w:rPr>
        <w:t>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p>
    <w:p w14:paraId="0763CF94">
      <w:pPr>
        <w:widowControl/>
        <w:spacing w:line="360" w:lineRule="auto"/>
        <w:ind w:firstLine="442"/>
        <w:rPr>
          <w:rFonts w:ascii="宋体" w:hAnsi="宋体" w:cs="宋体"/>
          <w:b/>
          <w:bCs/>
          <w:color w:val="auto"/>
          <w:sz w:val="22"/>
          <w:szCs w:val="22"/>
        </w:rPr>
      </w:pPr>
      <w:r>
        <w:rPr>
          <w:rFonts w:hint="eastAsia" w:ascii="宋体" w:hAnsi="宋体" w:cs="宋体"/>
          <w:b/>
          <w:bCs/>
          <w:color w:val="auto"/>
          <w:sz w:val="22"/>
          <w:szCs w:val="22"/>
        </w:rPr>
        <w:t>政府采购政策功能落实</w:t>
      </w:r>
    </w:p>
    <w:p w14:paraId="6367B35F">
      <w:pPr>
        <w:widowControl/>
        <w:spacing w:line="360" w:lineRule="auto"/>
        <w:ind w:firstLine="440"/>
        <w:rPr>
          <w:rFonts w:ascii="宋体" w:hAnsi="宋体" w:cs="宋体"/>
          <w:color w:val="auto"/>
          <w:sz w:val="22"/>
          <w:szCs w:val="22"/>
        </w:rPr>
      </w:pPr>
      <w:r>
        <w:rPr>
          <w:rFonts w:hint="eastAsia" w:ascii="宋体" w:hAnsi="宋体" w:cs="宋体"/>
          <w:color w:val="auto"/>
          <w:sz w:val="22"/>
          <w:szCs w:val="22"/>
        </w:rPr>
        <w:t>1、小微型企业价格扣除</w:t>
      </w:r>
    </w:p>
    <w:p w14:paraId="09BE2E3D">
      <w:pPr>
        <w:widowControl/>
        <w:spacing w:line="360" w:lineRule="auto"/>
        <w:ind w:firstLine="440"/>
        <w:rPr>
          <w:rFonts w:hint="eastAsia" w:ascii="宋体" w:hAnsi="宋体" w:cs="宋体"/>
          <w:color w:val="auto"/>
          <w:sz w:val="22"/>
          <w:szCs w:val="22"/>
        </w:rPr>
      </w:pPr>
      <w:r>
        <w:rPr>
          <w:rFonts w:hint="eastAsia" w:ascii="宋体" w:hAnsi="宋体" w:cs="宋体"/>
          <w:color w:val="auto"/>
          <w:sz w:val="22"/>
          <w:szCs w:val="22"/>
        </w:rPr>
        <w:t>（1）本项目对小型和微型企业产品给予20%的扣除价格，用扣除后的价格参与评审。</w:t>
      </w:r>
    </w:p>
    <w:p w14:paraId="23C4F7A4">
      <w:pPr>
        <w:widowControl/>
        <w:spacing w:line="360" w:lineRule="auto"/>
        <w:ind w:firstLine="440"/>
        <w:rPr>
          <w:rFonts w:hint="eastAsia" w:ascii="宋体" w:hAnsi="宋体" w:cs="宋体"/>
          <w:color w:val="auto"/>
          <w:sz w:val="22"/>
          <w:szCs w:val="22"/>
        </w:rPr>
      </w:pPr>
      <w:r>
        <w:rPr>
          <w:rFonts w:hint="eastAsia" w:ascii="宋体" w:hAnsi="宋体" w:cs="宋体"/>
          <w:color w:val="auto"/>
          <w:sz w:val="22"/>
          <w:szCs w:val="22"/>
        </w:rPr>
        <w:t>（2）供应商需按照采购文件的要求提供相应的《企业声明函》。</w:t>
      </w:r>
    </w:p>
    <w:p w14:paraId="1C52746B">
      <w:pPr>
        <w:widowControl/>
        <w:spacing w:line="360" w:lineRule="auto"/>
        <w:ind w:firstLine="440"/>
        <w:rPr>
          <w:rFonts w:hint="eastAsia" w:ascii="宋体" w:hAnsi="宋体" w:cs="宋体"/>
          <w:color w:val="auto"/>
          <w:sz w:val="22"/>
          <w:szCs w:val="22"/>
        </w:rPr>
      </w:pPr>
      <w:r>
        <w:rPr>
          <w:rFonts w:hint="eastAsia" w:ascii="宋体" w:hAnsi="宋体" w:cs="宋体"/>
          <w:color w:val="auto"/>
          <w:sz w:val="22"/>
          <w:szCs w:val="22"/>
        </w:rPr>
        <w:t>（3）企业标准请参照《关于印发中小企业划型标准规定的通知》（工信部联企业[2011]300号）文件规定自行填写。</w:t>
      </w:r>
    </w:p>
    <w:p w14:paraId="6FCF871B">
      <w:pPr>
        <w:widowControl/>
        <w:spacing w:line="360" w:lineRule="auto"/>
        <w:ind w:firstLine="442"/>
        <w:rPr>
          <w:rFonts w:ascii="宋体" w:hAnsi="宋体" w:cs="宋体"/>
          <w:b/>
          <w:bCs/>
          <w:color w:val="auto"/>
          <w:sz w:val="22"/>
          <w:szCs w:val="22"/>
        </w:rPr>
      </w:pPr>
      <w:r>
        <w:rPr>
          <w:rFonts w:hint="eastAsia" w:ascii="宋体" w:hAnsi="宋体" w:cs="宋体"/>
          <w:b/>
          <w:bCs/>
          <w:color w:val="auto"/>
          <w:sz w:val="22"/>
          <w:szCs w:val="22"/>
        </w:rPr>
        <w:t>（4）在货物采购项目中，供应商提供的货物既有中小企业制造货物，也有大型企业制造货物的，不享受本办法规定的中小企业扶持政策。</w:t>
      </w:r>
    </w:p>
    <w:p w14:paraId="13C8B192">
      <w:pPr>
        <w:spacing w:line="360" w:lineRule="auto"/>
        <w:ind w:firstLine="440"/>
        <w:rPr>
          <w:rFonts w:hint="eastAsia" w:ascii="宋体" w:hAnsi="宋体"/>
          <w:color w:val="auto"/>
          <w:sz w:val="22"/>
          <w:szCs w:val="22"/>
        </w:rPr>
      </w:pPr>
      <w:r>
        <w:rPr>
          <w:rFonts w:hint="eastAsia" w:ascii="宋体" w:hAnsi="宋体"/>
          <w:color w:val="auto"/>
          <w:sz w:val="22"/>
          <w:szCs w:val="22"/>
        </w:rPr>
        <w:t>2、残疾人福利单位价格扣除</w:t>
      </w:r>
    </w:p>
    <w:p w14:paraId="7D3DBABD">
      <w:pPr>
        <w:spacing w:line="360" w:lineRule="auto"/>
        <w:ind w:firstLine="440"/>
        <w:rPr>
          <w:rFonts w:hint="eastAsia" w:ascii="宋体" w:hAnsi="宋体"/>
          <w:color w:val="auto"/>
          <w:sz w:val="22"/>
          <w:szCs w:val="22"/>
        </w:rPr>
      </w:pPr>
      <w:r>
        <w:rPr>
          <w:rFonts w:hint="eastAsia" w:ascii="宋体" w:hAnsi="宋体"/>
          <w:color w:val="auto"/>
          <w:sz w:val="22"/>
          <w:szCs w:val="22"/>
        </w:rPr>
        <w:t>（1）本项目对残疾人福利性单位视同小型、微型企业，给予20%的价格扣除，用扣除后的价格参与评审。</w:t>
      </w:r>
    </w:p>
    <w:p w14:paraId="095C3CEA">
      <w:pPr>
        <w:spacing w:line="360" w:lineRule="auto"/>
        <w:ind w:firstLine="440"/>
        <w:rPr>
          <w:rFonts w:hint="eastAsia" w:ascii="宋体" w:hAnsi="宋体"/>
          <w:color w:val="auto"/>
          <w:sz w:val="22"/>
          <w:szCs w:val="22"/>
        </w:rPr>
      </w:pPr>
      <w:r>
        <w:rPr>
          <w:rFonts w:hint="eastAsia" w:ascii="宋体" w:hAnsi="宋体"/>
          <w:color w:val="auto"/>
          <w:sz w:val="22"/>
          <w:szCs w:val="22"/>
        </w:rPr>
        <w:t>（2）残疾人福利单位需按照采购文件的要求提供《残疾人福利性单位声明函》。</w:t>
      </w:r>
    </w:p>
    <w:p w14:paraId="683548B4">
      <w:pPr>
        <w:spacing w:line="360" w:lineRule="auto"/>
        <w:ind w:firstLine="440"/>
        <w:rPr>
          <w:rFonts w:hint="eastAsia" w:ascii="宋体" w:hAnsi="宋体"/>
          <w:color w:val="auto"/>
          <w:sz w:val="22"/>
          <w:szCs w:val="22"/>
        </w:rPr>
      </w:pPr>
      <w:r>
        <w:rPr>
          <w:rFonts w:hint="eastAsia" w:ascii="宋体" w:hAnsi="宋体"/>
          <w:color w:val="auto"/>
          <w:sz w:val="22"/>
          <w:szCs w:val="22"/>
        </w:rPr>
        <w:t>（3）残疾人福利单位标准请参照《关于促进残疾人就业政府采购政策的通知》（财库〔2017〕141号）。</w:t>
      </w:r>
    </w:p>
    <w:p w14:paraId="6C1CC350">
      <w:pPr>
        <w:spacing w:line="360" w:lineRule="auto"/>
        <w:ind w:firstLine="440"/>
        <w:rPr>
          <w:rFonts w:hint="eastAsia" w:ascii="宋体" w:hAnsi="宋体"/>
          <w:color w:val="auto"/>
          <w:sz w:val="22"/>
          <w:szCs w:val="22"/>
        </w:rPr>
      </w:pPr>
      <w:r>
        <w:rPr>
          <w:rFonts w:hint="eastAsia" w:ascii="宋体" w:hAnsi="宋体"/>
          <w:color w:val="auto"/>
          <w:sz w:val="22"/>
          <w:szCs w:val="22"/>
        </w:rPr>
        <w:t>3、监狱和戒毒企业价格扣除</w:t>
      </w:r>
    </w:p>
    <w:p w14:paraId="06EEB1F8">
      <w:pPr>
        <w:spacing w:line="360" w:lineRule="auto"/>
        <w:ind w:firstLine="440"/>
        <w:rPr>
          <w:rFonts w:hint="eastAsia" w:ascii="宋体" w:hAnsi="宋体"/>
          <w:color w:val="auto"/>
          <w:sz w:val="22"/>
          <w:szCs w:val="22"/>
        </w:rPr>
      </w:pPr>
      <w:r>
        <w:rPr>
          <w:rFonts w:hint="eastAsia" w:ascii="宋体" w:hAnsi="宋体"/>
          <w:color w:val="auto"/>
          <w:sz w:val="22"/>
          <w:szCs w:val="22"/>
        </w:rPr>
        <w:t>（1）本项目对监狱和戒毒企业（简称监狱企业）视同小型、微型企业，给予20%的价格扣除，用扣除后的价格参与评审。</w:t>
      </w:r>
    </w:p>
    <w:p w14:paraId="1E0AB4B0">
      <w:pPr>
        <w:spacing w:line="360" w:lineRule="auto"/>
        <w:ind w:firstLine="440"/>
        <w:rPr>
          <w:rFonts w:hint="eastAsia" w:ascii="宋体" w:hAnsi="宋体"/>
          <w:color w:val="auto"/>
          <w:sz w:val="22"/>
          <w:szCs w:val="22"/>
        </w:rPr>
      </w:pPr>
      <w:r>
        <w:rPr>
          <w:rFonts w:hint="eastAsia" w:ascii="宋体" w:hAnsi="宋体"/>
          <w:color w:val="auto"/>
          <w:sz w:val="22"/>
          <w:szCs w:val="22"/>
        </w:rPr>
        <w:t>（2）监狱企业参加政府采购活动时，需提供由省级以上监狱管理局、戒毒管理局(含新疆生产建设兵团)出具的属于监狱企业的证明文件。供应商如不提供上述证明文件，价格将不做相应扣除。</w:t>
      </w:r>
    </w:p>
    <w:p w14:paraId="77EA7C13">
      <w:pPr>
        <w:spacing w:line="360" w:lineRule="auto"/>
        <w:ind w:firstLine="440"/>
        <w:rPr>
          <w:rFonts w:hint="eastAsia" w:ascii="宋体" w:hAnsi="宋体"/>
          <w:color w:val="auto"/>
          <w:sz w:val="22"/>
          <w:szCs w:val="22"/>
        </w:rPr>
      </w:pPr>
      <w:r>
        <w:rPr>
          <w:rFonts w:hint="eastAsia" w:ascii="宋体" w:hAnsi="宋体"/>
          <w:color w:val="auto"/>
          <w:sz w:val="22"/>
          <w:szCs w:val="22"/>
        </w:rPr>
        <w:t>（3）监狱企业标准请参照《关于政府采购支持监狱企业发展有关问题的通知》（财库[2014]68号）。</w:t>
      </w:r>
    </w:p>
    <w:p w14:paraId="2695F2C2">
      <w:pPr>
        <w:spacing w:line="360" w:lineRule="auto"/>
        <w:ind w:firstLine="440"/>
        <w:rPr>
          <w:rFonts w:hint="eastAsia" w:ascii="宋体" w:hAnsi="宋体"/>
          <w:color w:val="auto"/>
          <w:sz w:val="22"/>
          <w:szCs w:val="22"/>
        </w:rPr>
      </w:pPr>
      <w:r>
        <w:rPr>
          <w:rFonts w:hint="eastAsia" w:ascii="宋体" w:hAnsi="宋体"/>
          <w:color w:val="auto"/>
          <w:sz w:val="22"/>
          <w:szCs w:val="22"/>
        </w:rPr>
        <w:t>4、残疾人福利单位、监狱企业属于小型、微型企业的，不重复享受政策。</w:t>
      </w:r>
    </w:p>
    <w:p w14:paraId="5938E339">
      <w:pPr>
        <w:spacing w:line="360" w:lineRule="auto"/>
        <w:ind w:firstLine="440"/>
        <w:rPr>
          <w:rFonts w:hint="eastAsia" w:ascii="宋体" w:hAnsi="宋体"/>
          <w:color w:val="auto"/>
          <w:sz w:val="22"/>
          <w:szCs w:val="22"/>
        </w:rPr>
      </w:pPr>
      <w:r>
        <w:rPr>
          <w:rFonts w:hint="eastAsia" w:ascii="宋体" w:hAnsi="宋体"/>
          <w:color w:val="auto"/>
          <w:sz w:val="22"/>
          <w:szCs w:val="22"/>
        </w:rPr>
        <w:t>5、★符合本采购文件优先采购 “环境标志产品”或“节能产品”的；必须提供“环境标志产品”或“节能产品”证明，否则不予认可。</w:t>
      </w:r>
    </w:p>
    <w:p w14:paraId="1676AF85">
      <w:pPr>
        <w:spacing w:line="360" w:lineRule="auto"/>
        <w:ind w:firstLine="440"/>
        <w:rPr>
          <w:rFonts w:ascii="宋体" w:hAnsi="宋体"/>
          <w:color w:val="auto"/>
          <w:sz w:val="22"/>
          <w:szCs w:val="22"/>
        </w:rPr>
      </w:pPr>
      <w:r>
        <w:rPr>
          <w:rFonts w:hint="eastAsia" w:ascii="宋体" w:hAnsi="宋体"/>
          <w:color w:val="auto"/>
          <w:sz w:val="22"/>
          <w:szCs w:val="22"/>
        </w:rPr>
        <w:t>环境标志产品是指列入财政部、环境保护部最新公布的《环境标志产品政府采购清单》内的产品；节能产品是指列入财政部、国家发改委最新公布的《节能产品政府采购清单》内的产品。鼓励节能及环保政策以投标（响应）主要（核心）产品（品牌）为准。</w:t>
      </w:r>
    </w:p>
    <w:p w14:paraId="20039719">
      <w:pPr>
        <w:spacing w:line="360" w:lineRule="auto"/>
        <w:rPr>
          <w:rFonts w:hint="eastAsia" w:ascii="宋体" w:hAnsi="宋体" w:cs="Courier New"/>
          <w:b/>
          <w:bCs/>
          <w:color w:val="auto"/>
          <w:sz w:val="24"/>
          <w:szCs w:val="24"/>
        </w:rPr>
      </w:pPr>
      <w:r>
        <w:rPr>
          <w:rFonts w:hint="eastAsia" w:ascii="宋体" w:hAnsi="宋体" w:cs="Courier New"/>
          <w:b/>
          <w:bCs/>
          <w:color w:val="auto"/>
          <w:sz w:val="24"/>
          <w:szCs w:val="24"/>
        </w:rPr>
        <w:t>二、评标标准</w:t>
      </w:r>
    </w:p>
    <w:tbl>
      <w:tblPr>
        <w:tblStyle w:val="16"/>
        <w:tblpPr w:leftFromText="180" w:rightFromText="180" w:vertAnchor="text" w:horzAnchor="page" w:tblpX="1355" w:tblpY="459"/>
        <w:tblW w:w="9264"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10"/>
        <w:gridCol w:w="833"/>
        <w:gridCol w:w="7121"/>
      </w:tblGrid>
      <w:tr w14:paraId="4904C6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9" w:hRule="atLeast"/>
        </w:trPr>
        <w:tc>
          <w:tcPr>
            <w:tcW w:w="1310" w:type="dxa"/>
            <w:noWrap w:val="0"/>
            <w:vAlign w:val="center"/>
          </w:tcPr>
          <w:p w14:paraId="3F2D6AE4">
            <w:pPr>
              <w:tabs>
                <w:tab w:val="left" w:pos="215"/>
              </w:tabs>
              <w:spacing w:before="35" w:line="228" w:lineRule="auto"/>
              <w:jc w:val="center"/>
              <w:rPr>
                <w:rFonts w:hint="eastAsia" w:ascii="宋体" w:hAnsi="宋体" w:cs="宋体"/>
                <w:color w:val="auto"/>
              </w:rPr>
            </w:pPr>
            <w:r>
              <w:rPr>
                <w:rFonts w:hint="eastAsia" w:ascii="宋体" w:hAnsi="宋体" w:cs="宋体"/>
                <w:color w:val="auto"/>
                <w:spacing w:val="9"/>
              </w:rPr>
              <w:t>评审因</w:t>
            </w:r>
            <w:r>
              <w:rPr>
                <w:rFonts w:hint="eastAsia" w:ascii="宋体" w:hAnsi="宋体" w:cs="宋体"/>
                <w:color w:val="auto"/>
                <w:spacing w:val="8"/>
              </w:rPr>
              <w:t>素</w:t>
            </w:r>
          </w:p>
        </w:tc>
        <w:tc>
          <w:tcPr>
            <w:tcW w:w="833" w:type="dxa"/>
            <w:noWrap w:val="0"/>
            <w:vAlign w:val="center"/>
          </w:tcPr>
          <w:p w14:paraId="4076F506">
            <w:pPr>
              <w:spacing w:before="35" w:line="228" w:lineRule="auto"/>
              <w:ind w:left="120"/>
              <w:jc w:val="center"/>
              <w:rPr>
                <w:rFonts w:hint="eastAsia" w:ascii="宋体" w:hAnsi="宋体" w:cs="宋体"/>
                <w:color w:val="auto"/>
              </w:rPr>
            </w:pPr>
            <w:r>
              <w:rPr>
                <w:rFonts w:hint="eastAsia" w:ascii="宋体" w:hAnsi="宋体" w:cs="宋体"/>
                <w:color w:val="auto"/>
                <w:spacing w:val="5"/>
              </w:rPr>
              <w:t>分</w:t>
            </w:r>
            <w:r>
              <w:rPr>
                <w:rFonts w:hint="eastAsia" w:ascii="宋体" w:hAnsi="宋体" w:cs="宋体"/>
                <w:color w:val="auto"/>
                <w:spacing w:val="4"/>
              </w:rPr>
              <w:t>值</w:t>
            </w:r>
          </w:p>
        </w:tc>
        <w:tc>
          <w:tcPr>
            <w:tcW w:w="7121" w:type="dxa"/>
            <w:noWrap w:val="0"/>
            <w:vAlign w:val="center"/>
          </w:tcPr>
          <w:p w14:paraId="2F067119">
            <w:pPr>
              <w:spacing w:before="35" w:line="228" w:lineRule="auto"/>
              <w:ind w:left="3143"/>
              <w:jc w:val="both"/>
              <w:rPr>
                <w:rFonts w:hint="eastAsia" w:ascii="宋体" w:hAnsi="宋体" w:cs="宋体"/>
                <w:color w:val="auto"/>
              </w:rPr>
            </w:pPr>
            <w:r>
              <w:rPr>
                <w:rFonts w:hint="eastAsia" w:ascii="宋体" w:hAnsi="宋体" w:cs="宋体"/>
                <w:color w:val="auto"/>
                <w:spacing w:val="9"/>
              </w:rPr>
              <w:t>评分细</w:t>
            </w:r>
            <w:r>
              <w:rPr>
                <w:rFonts w:hint="eastAsia" w:ascii="宋体" w:hAnsi="宋体" w:cs="宋体"/>
                <w:color w:val="auto"/>
                <w:spacing w:val="8"/>
              </w:rPr>
              <w:t>则</w:t>
            </w:r>
          </w:p>
        </w:tc>
      </w:tr>
      <w:tr w14:paraId="3A071B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4" w:hRule="atLeast"/>
        </w:trPr>
        <w:tc>
          <w:tcPr>
            <w:tcW w:w="9264" w:type="dxa"/>
            <w:gridSpan w:val="3"/>
            <w:noWrap w:val="0"/>
            <w:vAlign w:val="center"/>
          </w:tcPr>
          <w:p w14:paraId="509CB992">
            <w:pPr>
              <w:spacing w:before="30" w:line="226" w:lineRule="auto"/>
              <w:ind w:left="117"/>
              <w:jc w:val="center"/>
              <w:rPr>
                <w:rFonts w:hint="eastAsia" w:ascii="宋体" w:hAnsi="宋体" w:cs="宋体"/>
                <w:color w:val="auto"/>
                <w:highlight w:val="none"/>
              </w:rPr>
            </w:pPr>
            <w:r>
              <w:rPr>
                <w:rFonts w:hint="eastAsia" w:ascii="宋体" w:hAnsi="宋体" w:cs="宋体"/>
                <w:color w:val="auto"/>
                <w:spacing w:val="10"/>
                <w:highlight w:val="none"/>
              </w:rPr>
              <w:t>价</w:t>
            </w:r>
            <w:r>
              <w:rPr>
                <w:rFonts w:hint="eastAsia" w:ascii="宋体" w:hAnsi="宋体" w:cs="宋体"/>
                <w:color w:val="auto"/>
                <w:spacing w:val="5"/>
                <w:highlight w:val="none"/>
              </w:rPr>
              <w:t>格分 (</w:t>
            </w:r>
            <w:r>
              <w:rPr>
                <w:rFonts w:hint="eastAsia" w:ascii="宋体" w:hAnsi="宋体" w:cs="宋体"/>
                <w:color w:val="auto"/>
                <w:spacing w:val="5"/>
                <w:highlight w:val="none"/>
                <w:lang w:val="en-US" w:eastAsia="zh-CN"/>
              </w:rPr>
              <w:t>28</w:t>
            </w:r>
            <w:r>
              <w:rPr>
                <w:rFonts w:hint="eastAsia" w:ascii="宋体" w:hAnsi="宋体" w:cs="宋体"/>
                <w:color w:val="auto"/>
                <w:spacing w:val="5"/>
                <w:highlight w:val="none"/>
              </w:rPr>
              <w:t>)</w:t>
            </w:r>
          </w:p>
        </w:tc>
      </w:tr>
      <w:tr w14:paraId="3302A2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3" w:hRule="atLeast"/>
        </w:trPr>
        <w:tc>
          <w:tcPr>
            <w:tcW w:w="1310" w:type="dxa"/>
            <w:noWrap w:val="0"/>
            <w:vAlign w:val="top"/>
          </w:tcPr>
          <w:p w14:paraId="5545CCA6">
            <w:pPr>
              <w:spacing w:line="259" w:lineRule="auto"/>
              <w:rPr>
                <w:rFonts w:hint="eastAsia" w:ascii="宋体" w:hAnsi="宋体" w:cs="宋体"/>
                <w:color w:val="auto"/>
                <w:highlight w:val="none"/>
              </w:rPr>
            </w:pPr>
          </w:p>
          <w:p w14:paraId="5025CA3B">
            <w:pPr>
              <w:spacing w:line="260" w:lineRule="auto"/>
              <w:rPr>
                <w:rFonts w:hint="eastAsia" w:ascii="宋体" w:hAnsi="宋体" w:cs="宋体"/>
                <w:color w:val="auto"/>
                <w:highlight w:val="none"/>
              </w:rPr>
            </w:pPr>
          </w:p>
          <w:p w14:paraId="694DB15A">
            <w:pPr>
              <w:spacing w:line="260" w:lineRule="auto"/>
              <w:rPr>
                <w:rFonts w:hint="eastAsia" w:ascii="宋体" w:hAnsi="宋体" w:cs="宋体"/>
                <w:color w:val="auto"/>
                <w:highlight w:val="none"/>
              </w:rPr>
            </w:pPr>
          </w:p>
          <w:p w14:paraId="7170037A">
            <w:pPr>
              <w:spacing w:before="65" w:line="226" w:lineRule="auto"/>
              <w:ind w:left="462"/>
              <w:rPr>
                <w:rFonts w:hint="eastAsia" w:ascii="宋体" w:hAnsi="宋体" w:cs="宋体"/>
                <w:color w:val="auto"/>
                <w:spacing w:val="8"/>
                <w:highlight w:val="none"/>
              </w:rPr>
            </w:pPr>
          </w:p>
          <w:p w14:paraId="33948DFF">
            <w:pPr>
              <w:spacing w:before="65" w:line="226" w:lineRule="auto"/>
              <w:ind w:left="462"/>
              <w:rPr>
                <w:rFonts w:hint="eastAsia" w:ascii="宋体" w:hAnsi="宋体" w:cs="宋体"/>
                <w:color w:val="auto"/>
                <w:spacing w:val="8"/>
                <w:highlight w:val="none"/>
              </w:rPr>
            </w:pPr>
          </w:p>
          <w:p w14:paraId="23E78022">
            <w:pPr>
              <w:spacing w:before="65" w:line="226" w:lineRule="auto"/>
              <w:ind w:left="462"/>
              <w:rPr>
                <w:rFonts w:hint="eastAsia" w:ascii="宋体" w:hAnsi="宋体" w:cs="宋体"/>
                <w:color w:val="auto"/>
                <w:spacing w:val="8"/>
                <w:highlight w:val="none"/>
              </w:rPr>
            </w:pPr>
          </w:p>
          <w:p w14:paraId="5835EE20">
            <w:pPr>
              <w:spacing w:before="65" w:line="226" w:lineRule="auto"/>
              <w:ind w:firstLine="226" w:firstLineChars="100"/>
              <w:rPr>
                <w:rFonts w:hint="eastAsia" w:ascii="宋体" w:hAnsi="宋体" w:cs="宋体"/>
                <w:color w:val="auto"/>
                <w:highlight w:val="none"/>
              </w:rPr>
            </w:pPr>
            <w:r>
              <w:rPr>
                <w:rFonts w:hint="eastAsia" w:ascii="宋体" w:hAnsi="宋体" w:cs="宋体"/>
                <w:color w:val="auto"/>
                <w:spacing w:val="8"/>
                <w:highlight w:val="none"/>
              </w:rPr>
              <w:t>投标报</w:t>
            </w:r>
            <w:r>
              <w:rPr>
                <w:rFonts w:hint="eastAsia" w:ascii="宋体" w:hAnsi="宋体" w:cs="宋体"/>
                <w:color w:val="auto"/>
                <w:spacing w:val="7"/>
                <w:highlight w:val="none"/>
              </w:rPr>
              <w:t>价</w:t>
            </w:r>
          </w:p>
        </w:tc>
        <w:tc>
          <w:tcPr>
            <w:tcW w:w="833" w:type="dxa"/>
            <w:noWrap w:val="0"/>
            <w:vAlign w:val="top"/>
          </w:tcPr>
          <w:p w14:paraId="4A23391D">
            <w:pPr>
              <w:spacing w:line="270" w:lineRule="auto"/>
              <w:rPr>
                <w:rFonts w:hint="eastAsia" w:ascii="宋体" w:hAnsi="宋体" w:cs="宋体"/>
                <w:color w:val="auto"/>
                <w:highlight w:val="none"/>
              </w:rPr>
            </w:pPr>
          </w:p>
          <w:p w14:paraId="6173E403">
            <w:pPr>
              <w:spacing w:line="271" w:lineRule="auto"/>
              <w:rPr>
                <w:rFonts w:hint="eastAsia" w:ascii="宋体" w:hAnsi="宋体" w:cs="宋体"/>
                <w:color w:val="auto"/>
                <w:highlight w:val="none"/>
              </w:rPr>
            </w:pPr>
          </w:p>
          <w:p w14:paraId="381C4CFC">
            <w:pPr>
              <w:spacing w:line="271" w:lineRule="auto"/>
              <w:rPr>
                <w:rFonts w:hint="eastAsia" w:ascii="宋体" w:hAnsi="宋体" w:cs="宋体"/>
                <w:color w:val="auto"/>
                <w:highlight w:val="none"/>
              </w:rPr>
            </w:pPr>
          </w:p>
          <w:p w14:paraId="77D491C6">
            <w:pPr>
              <w:spacing w:before="65" w:line="190" w:lineRule="auto"/>
              <w:ind w:left="227"/>
              <w:rPr>
                <w:rFonts w:hint="eastAsia" w:ascii="宋体" w:hAnsi="宋体" w:cs="宋体"/>
                <w:color w:val="auto"/>
                <w:spacing w:val="-2"/>
                <w:highlight w:val="none"/>
              </w:rPr>
            </w:pPr>
          </w:p>
          <w:p w14:paraId="7DE84F8C">
            <w:pPr>
              <w:spacing w:before="65" w:line="190" w:lineRule="auto"/>
              <w:ind w:left="227"/>
              <w:rPr>
                <w:rFonts w:hint="eastAsia" w:ascii="宋体" w:hAnsi="宋体" w:cs="宋体"/>
                <w:color w:val="auto"/>
                <w:spacing w:val="-2"/>
                <w:highlight w:val="none"/>
              </w:rPr>
            </w:pPr>
          </w:p>
          <w:p w14:paraId="403BA82F">
            <w:pPr>
              <w:spacing w:before="65" w:line="190" w:lineRule="auto"/>
              <w:ind w:left="227"/>
              <w:rPr>
                <w:rFonts w:hint="eastAsia" w:ascii="宋体" w:hAnsi="宋体" w:cs="宋体"/>
                <w:color w:val="auto"/>
                <w:spacing w:val="-2"/>
                <w:highlight w:val="none"/>
              </w:rPr>
            </w:pPr>
          </w:p>
          <w:p w14:paraId="39BE7A30">
            <w:pPr>
              <w:spacing w:before="65" w:line="190" w:lineRule="auto"/>
              <w:ind w:left="227"/>
              <w:rPr>
                <w:rFonts w:hint="default" w:ascii="宋体" w:hAnsi="宋体" w:cs="宋体"/>
                <w:color w:val="auto"/>
                <w:highlight w:val="none"/>
                <w:lang w:val="en-US"/>
              </w:rPr>
            </w:pPr>
            <w:r>
              <w:rPr>
                <w:rFonts w:hint="eastAsia" w:ascii="宋体" w:hAnsi="宋体" w:cs="宋体"/>
                <w:color w:val="auto"/>
                <w:highlight w:val="none"/>
                <w:lang w:val="en-US" w:eastAsia="zh-CN"/>
              </w:rPr>
              <w:t>28</w:t>
            </w:r>
          </w:p>
        </w:tc>
        <w:tc>
          <w:tcPr>
            <w:tcW w:w="7121" w:type="dxa"/>
            <w:noWrap w:val="0"/>
            <w:vAlign w:val="top"/>
          </w:tcPr>
          <w:p w14:paraId="23F1077A">
            <w:pPr>
              <w:spacing w:before="33" w:line="301" w:lineRule="auto"/>
              <w:ind w:left="113" w:right="108"/>
              <w:rPr>
                <w:rFonts w:hint="eastAsia" w:ascii="宋体" w:hAnsi="宋体" w:cs="宋体"/>
                <w:color w:val="auto"/>
                <w:highlight w:val="none"/>
              </w:rPr>
            </w:pPr>
            <w:r>
              <w:rPr>
                <w:rFonts w:hint="eastAsia" w:ascii="宋体" w:hAnsi="宋体" w:cs="宋体"/>
                <w:color w:val="auto"/>
                <w:spacing w:val="9"/>
                <w:highlight w:val="none"/>
              </w:rPr>
              <w:t>价格分采用低价优先法计算，即满足招标文件要求且投标价格最低的投标</w:t>
            </w:r>
            <w:r>
              <w:rPr>
                <w:rFonts w:hint="eastAsia" w:ascii="宋体" w:hAnsi="宋体" w:cs="宋体"/>
                <w:color w:val="auto"/>
                <w:spacing w:val="5"/>
                <w:highlight w:val="none"/>
              </w:rPr>
              <w:t>报</w:t>
            </w:r>
            <w:r>
              <w:rPr>
                <w:rFonts w:hint="eastAsia" w:ascii="宋体" w:hAnsi="宋体" w:cs="宋体"/>
                <w:color w:val="auto"/>
                <w:spacing w:val="14"/>
                <w:highlight w:val="none"/>
              </w:rPr>
              <w:t>价</w:t>
            </w:r>
            <w:r>
              <w:rPr>
                <w:rFonts w:hint="eastAsia" w:ascii="宋体" w:hAnsi="宋体" w:cs="宋体"/>
                <w:color w:val="auto"/>
                <w:spacing w:val="9"/>
                <w:highlight w:val="none"/>
              </w:rPr>
              <w:t>为评标基准价，其他供应商的价格分按照下列公式计算：</w:t>
            </w:r>
          </w:p>
          <w:p w14:paraId="3359FE5E">
            <w:pPr>
              <w:spacing w:before="33" w:line="301" w:lineRule="auto"/>
              <w:ind w:left="113" w:right="108"/>
              <w:rPr>
                <w:rFonts w:hint="eastAsia" w:ascii="宋体" w:hAnsi="宋体" w:cs="宋体"/>
                <w:b/>
                <w:bCs/>
                <w:color w:val="auto"/>
                <w:spacing w:val="9"/>
                <w:highlight w:val="none"/>
              </w:rPr>
            </w:pPr>
            <w:r>
              <w:rPr>
                <w:rFonts w:hint="eastAsia" w:ascii="宋体" w:hAnsi="宋体" w:cs="宋体"/>
                <w:color w:val="auto"/>
                <w:spacing w:val="16"/>
                <w:highlight w:val="none"/>
              </w:rPr>
              <w:t>价格分</w:t>
            </w:r>
            <w:r>
              <w:rPr>
                <w:rFonts w:hint="eastAsia" w:ascii="宋体" w:hAnsi="宋体" w:cs="宋体"/>
                <w:color w:val="auto"/>
                <w:spacing w:val="8"/>
                <w:highlight w:val="none"/>
              </w:rPr>
              <w:t>= (评标基准价/投标报价)×</w:t>
            </w:r>
            <w:r>
              <w:rPr>
                <w:rFonts w:hint="eastAsia" w:ascii="宋体" w:hAnsi="宋体" w:cs="宋体"/>
                <w:color w:val="auto"/>
                <w:spacing w:val="8"/>
                <w:highlight w:val="none"/>
                <w:lang w:val="en-US" w:eastAsia="zh-CN"/>
              </w:rPr>
              <w:t>28</w:t>
            </w:r>
            <w:r>
              <w:rPr>
                <w:rFonts w:hint="eastAsia" w:ascii="宋体" w:hAnsi="宋体" w:cs="宋体"/>
                <w:color w:val="auto"/>
                <w:spacing w:val="8"/>
                <w:highlight w:val="none"/>
              </w:rPr>
              <w:t>×</w:t>
            </w:r>
            <w:r>
              <w:rPr>
                <w:rFonts w:hint="eastAsia" w:ascii="宋体" w:hAnsi="宋体" w:cs="宋体"/>
                <w:color w:val="auto"/>
                <w:spacing w:val="8"/>
                <w:highlight w:val="none"/>
                <w:lang w:val="en-US" w:eastAsia="zh-CN"/>
              </w:rPr>
              <w:t>100%</w:t>
            </w:r>
            <w:r>
              <w:rPr>
                <w:rFonts w:hint="eastAsia" w:ascii="宋体" w:hAnsi="宋体" w:cs="宋体"/>
                <w:color w:val="auto"/>
                <w:spacing w:val="8"/>
                <w:highlight w:val="none"/>
              </w:rPr>
              <w:t>，得分数值保留两位小数。</w:t>
            </w:r>
            <w:r>
              <w:rPr>
                <w:rFonts w:hint="eastAsia" w:ascii="宋体" w:hAnsi="宋体" w:cs="宋体"/>
                <w:color w:val="auto"/>
                <w:highlight w:val="none"/>
              </w:rPr>
              <w:t xml:space="preserve">  </w:t>
            </w:r>
            <w:r>
              <w:rPr>
                <w:rFonts w:hint="eastAsia" w:ascii="宋体" w:hAnsi="宋体" w:cs="宋体"/>
                <w:color w:val="auto"/>
                <w:spacing w:val="12"/>
                <w:highlight w:val="none"/>
              </w:rPr>
              <w:t>注</w:t>
            </w:r>
            <w:r>
              <w:rPr>
                <w:rFonts w:hint="eastAsia" w:ascii="宋体" w:hAnsi="宋体" w:cs="宋体"/>
                <w:color w:val="auto"/>
                <w:spacing w:val="9"/>
                <w:highlight w:val="none"/>
              </w:rPr>
              <w:t>：</w:t>
            </w:r>
            <w:r>
              <w:rPr>
                <w:rFonts w:hint="eastAsia" w:ascii="宋体" w:hAnsi="宋体" w:cs="宋体"/>
                <w:b/>
                <w:bCs/>
                <w:color w:val="auto"/>
                <w:highlight w:val="none"/>
              </w:rPr>
              <w:t>对小型和微型企业服务的价格给予20%的扣除</w:t>
            </w:r>
            <w:r>
              <w:rPr>
                <w:rFonts w:hint="eastAsia" w:ascii="宋体" w:hAnsi="宋体" w:cs="宋体"/>
                <w:b/>
                <w:bCs/>
                <w:color w:val="auto"/>
                <w:spacing w:val="9"/>
                <w:highlight w:val="none"/>
              </w:rPr>
              <w:t>，用扣除后的价格参与评审(因落实政府采购政策进行价格调整的，以调整后的价格计算评标基准价和投标报价)，如有虚假，将按照《中华人民共和国政府采购法》第七十七条依法承担相应责任。</w:t>
            </w:r>
          </w:p>
          <w:p w14:paraId="33297134">
            <w:pPr>
              <w:spacing w:line="301" w:lineRule="auto"/>
              <w:ind w:left="113" w:right="108"/>
              <w:rPr>
                <w:rFonts w:hint="eastAsia"/>
                <w:color w:val="auto"/>
                <w:highlight w:val="none"/>
              </w:rPr>
            </w:pPr>
            <w:r>
              <w:rPr>
                <w:rFonts w:hint="eastAsia" w:ascii="宋体" w:hAnsi="宋体" w:cs="宋体"/>
                <w:b/>
                <w:bCs/>
                <w:color w:val="auto"/>
                <w:spacing w:val="9"/>
                <w:highlight w:val="none"/>
              </w:rPr>
              <w:t>依据财政部87号第六十条，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14:paraId="51C938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2" w:hRule="atLeast"/>
        </w:trPr>
        <w:tc>
          <w:tcPr>
            <w:tcW w:w="9264" w:type="dxa"/>
            <w:gridSpan w:val="3"/>
            <w:noWrap w:val="0"/>
            <w:vAlign w:val="top"/>
          </w:tcPr>
          <w:p w14:paraId="390ED909">
            <w:pPr>
              <w:spacing w:before="30" w:line="228" w:lineRule="auto"/>
              <w:ind w:left="120"/>
              <w:rPr>
                <w:rFonts w:hint="eastAsia" w:ascii="宋体" w:hAnsi="宋体" w:cs="宋体"/>
                <w:color w:val="auto"/>
              </w:rPr>
            </w:pPr>
            <w:r>
              <w:rPr>
                <w:rFonts w:hint="eastAsia" w:ascii="宋体" w:hAnsi="宋体" w:cs="宋体"/>
                <w:color w:val="auto"/>
                <w:spacing w:val="7"/>
              </w:rPr>
              <w:t>商</w:t>
            </w:r>
            <w:r>
              <w:rPr>
                <w:rFonts w:hint="eastAsia" w:ascii="宋体" w:hAnsi="宋体" w:cs="宋体"/>
                <w:color w:val="auto"/>
                <w:spacing w:val="5"/>
              </w:rPr>
              <w:t>务分 (</w:t>
            </w:r>
            <w:r>
              <w:rPr>
                <w:rFonts w:hint="eastAsia" w:ascii="宋体" w:hAnsi="宋体" w:cs="宋体"/>
                <w:color w:val="auto"/>
                <w:spacing w:val="5"/>
                <w:lang w:val="en-US" w:eastAsia="zh-CN"/>
              </w:rPr>
              <w:t>11</w:t>
            </w:r>
            <w:r>
              <w:rPr>
                <w:rFonts w:hint="eastAsia" w:ascii="宋体" w:hAnsi="宋体" w:cs="宋体"/>
                <w:color w:val="auto"/>
                <w:spacing w:val="5"/>
              </w:rPr>
              <w:t>)</w:t>
            </w:r>
          </w:p>
        </w:tc>
      </w:tr>
      <w:tr w14:paraId="7364D0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26" w:hRule="atLeast"/>
        </w:trPr>
        <w:tc>
          <w:tcPr>
            <w:tcW w:w="1310" w:type="dxa"/>
            <w:noWrap w:val="0"/>
            <w:vAlign w:val="top"/>
          </w:tcPr>
          <w:p w14:paraId="75C8301A">
            <w:pPr>
              <w:spacing w:line="295" w:lineRule="auto"/>
              <w:rPr>
                <w:rFonts w:hint="eastAsia" w:ascii="宋体" w:hAnsi="宋体" w:cs="宋体"/>
                <w:highlight w:val="none"/>
              </w:rPr>
            </w:pPr>
          </w:p>
          <w:p w14:paraId="180BDCC4">
            <w:pPr>
              <w:spacing w:before="65" w:line="228" w:lineRule="auto"/>
              <w:ind w:left="463"/>
              <w:rPr>
                <w:rFonts w:hint="eastAsia" w:ascii="宋体" w:hAnsi="宋体" w:cs="宋体"/>
                <w:spacing w:val="10"/>
                <w:highlight w:val="none"/>
              </w:rPr>
            </w:pPr>
          </w:p>
          <w:p w14:paraId="3A18A314">
            <w:pPr>
              <w:spacing w:before="65" w:line="228" w:lineRule="auto"/>
              <w:ind w:firstLine="230"/>
              <w:rPr>
                <w:rFonts w:hint="eastAsia" w:ascii="宋体" w:hAnsi="宋体" w:cs="宋体"/>
                <w:highlight w:val="none"/>
              </w:rPr>
            </w:pPr>
            <w:r>
              <w:rPr>
                <w:rFonts w:hint="eastAsia" w:ascii="宋体" w:hAnsi="宋体" w:cs="宋体"/>
                <w:spacing w:val="10"/>
                <w:highlight w:val="none"/>
              </w:rPr>
              <w:t>业务能力</w:t>
            </w:r>
          </w:p>
        </w:tc>
        <w:tc>
          <w:tcPr>
            <w:tcW w:w="833" w:type="dxa"/>
            <w:noWrap w:val="0"/>
            <w:vAlign w:val="top"/>
          </w:tcPr>
          <w:p w14:paraId="5D74F0C9">
            <w:pPr>
              <w:spacing w:before="65" w:line="190" w:lineRule="auto"/>
              <w:ind w:left="280"/>
              <w:rPr>
                <w:rFonts w:hint="eastAsia" w:ascii="宋体" w:hAnsi="宋体" w:cs="宋体"/>
                <w:highlight w:val="none"/>
              </w:rPr>
            </w:pPr>
          </w:p>
          <w:p w14:paraId="3D9223CD">
            <w:pPr>
              <w:spacing w:before="65" w:line="190" w:lineRule="auto"/>
              <w:ind w:left="280"/>
              <w:rPr>
                <w:rFonts w:hint="eastAsia" w:ascii="宋体" w:hAnsi="宋体" w:cs="宋体"/>
                <w:highlight w:val="none"/>
              </w:rPr>
            </w:pPr>
          </w:p>
          <w:p w14:paraId="7FDD1906">
            <w:pPr>
              <w:spacing w:before="65" w:line="190" w:lineRule="auto"/>
              <w:ind w:left="280"/>
              <w:rPr>
                <w:rFonts w:hint="eastAsia" w:ascii="宋体" w:hAnsi="宋体" w:eastAsia="宋体" w:cs="宋体"/>
                <w:highlight w:val="none"/>
                <w:lang w:eastAsia="zh-CN"/>
              </w:rPr>
            </w:pPr>
            <w:r>
              <w:rPr>
                <w:rFonts w:hint="eastAsia" w:ascii="宋体" w:hAnsi="宋体" w:cs="宋体"/>
                <w:highlight w:val="none"/>
                <w:lang w:val="en-US" w:eastAsia="zh-CN"/>
              </w:rPr>
              <w:t>2</w:t>
            </w:r>
          </w:p>
        </w:tc>
        <w:tc>
          <w:tcPr>
            <w:tcW w:w="7121" w:type="dxa"/>
            <w:noWrap w:val="0"/>
            <w:vAlign w:val="top"/>
          </w:tcPr>
          <w:p w14:paraId="5D97F072">
            <w:pPr>
              <w:spacing w:before="99" w:line="287" w:lineRule="auto"/>
              <w:ind w:right="106"/>
              <w:rPr>
                <w:rFonts w:hint="eastAsia" w:ascii="宋体" w:hAnsi="宋体" w:cs="宋体"/>
                <w:highlight w:val="none"/>
              </w:rPr>
            </w:pPr>
            <w:r>
              <w:rPr>
                <w:rFonts w:hint="eastAsia" w:ascii="宋体" w:hAnsi="宋体" w:cs="宋体"/>
                <w:highlight w:val="none"/>
              </w:rPr>
              <w:t>投标人具有202</w:t>
            </w:r>
            <w:r>
              <w:rPr>
                <w:rFonts w:hint="eastAsia" w:ascii="宋体" w:hAnsi="宋体" w:cs="宋体"/>
                <w:highlight w:val="none"/>
                <w:lang w:val="en-US" w:eastAsia="zh-CN"/>
              </w:rPr>
              <w:t>1</w:t>
            </w:r>
            <w:r>
              <w:rPr>
                <w:rFonts w:hint="eastAsia" w:ascii="宋体" w:hAnsi="宋体" w:cs="宋体"/>
                <w:highlight w:val="none"/>
              </w:rPr>
              <w:t>年1月1日以来（</w:t>
            </w:r>
            <w:r>
              <w:rPr>
                <w:rFonts w:hint="eastAsia" w:ascii="宋体" w:hAnsi="宋体"/>
                <w:highlight w:val="none"/>
              </w:rPr>
              <w:t>（以合同签订时间为准）</w:t>
            </w:r>
            <w:r>
              <w:rPr>
                <w:rFonts w:hint="eastAsia" w:ascii="宋体" w:hAnsi="宋体" w:cs="宋体"/>
                <w:highlight w:val="none"/>
              </w:rPr>
              <w:t>骨干河道的打捞保洁合同，每提供一个得</w:t>
            </w:r>
            <w:r>
              <w:rPr>
                <w:rFonts w:hint="eastAsia" w:ascii="宋体" w:hAnsi="宋体" w:cs="宋体"/>
                <w:highlight w:val="none"/>
                <w:lang w:val="en-US" w:eastAsia="zh-CN"/>
              </w:rPr>
              <w:t>1</w:t>
            </w:r>
            <w:r>
              <w:rPr>
                <w:rFonts w:hint="eastAsia" w:ascii="宋体" w:hAnsi="宋体" w:cs="宋体"/>
                <w:highlight w:val="none"/>
              </w:rPr>
              <w:t>分，最高得</w:t>
            </w:r>
            <w:r>
              <w:rPr>
                <w:rFonts w:hint="eastAsia" w:ascii="宋体" w:hAnsi="宋体" w:cs="宋体"/>
                <w:highlight w:val="none"/>
                <w:lang w:val="en-US" w:eastAsia="zh-CN"/>
              </w:rPr>
              <w:t>2</w:t>
            </w:r>
            <w:r>
              <w:rPr>
                <w:rFonts w:hint="eastAsia" w:ascii="宋体" w:hAnsi="宋体" w:cs="宋体"/>
                <w:highlight w:val="none"/>
              </w:rPr>
              <w:t>分（投标时需提供河道等级证明材料（如</w:t>
            </w:r>
            <w:r>
              <w:rPr>
                <w:rFonts w:hint="eastAsia" w:ascii="宋体" w:hAnsi="宋体" w:cs="宋体"/>
                <w:highlight w:val="none"/>
                <w:lang w:val="en-US" w:eastAsia="zh-CN"/>
              </w:rPr>
              <w:t>***</w:t>
            </w:r>
            <w:r>
              <w:rPr>
                <w:rFonts w:hint="eastAsia" w:ascii="宋体" w:hAnsi="宋体" w:cs="宋体"/>
                <w:highlight w:val="none"/>
              </w:rPr>
              <w:t>省需提供《</w:t>
            </w:r>
            <w:r>
              <w:rPr>
                <w:rFonts w:hint="eastAsia" w:ascii="宋体" w:hAnsi="宋体" w:cs="宋体"/>
                <w:highlight w:val="none"/>
                <w:lang w:val="en-US" w:eastAsia="zh-CN"/>
              </w:rPr>
              <w:t>***</w:t>
            </w:r>
            <w:r>
              <w:rPr>
                <w:rFonts w:hint="eastAsia" w:ascii="宋体" w:hAnsi="宋体" w:cs="宋体"/>
                <w:highlight w:val="none"/>
              </w:rPr>
              <w:t>省骨干河道名录》）、中标通知书</w:t>
            </w:r>
            <w:r>
              <w:rPr>
                <w:rFonts w:hint="eastAsia" w:ascii="宋体" w:hAnsi="宋体" w:cs="宋体"/>
                <w:highlight w:val="none"/>
                <w:lang w:val="en-US" w:eastAsia="zh-CN"/>
              </w:rPr>
              <w:t>原件</w:t>
            </w:r>
            <w:r>
              <w:rPr>
                <w:rFonts w:hint="eastAsia" w:ascii="宋体" w:hAnsi="宋体" w:cs="宋体"/>
                <w:highlight w:val="none"/>
              </w:rPr>
              <w:t>扫描件及合同的</w:t>
            </w:r>
            <w:r>
              <w:rPr>
                <w:rFonts w:hint="eastAsia" w:ascii="宋体" w:hAnsi="宋体" w:cs="宋体"/>
                <w:highlight w:val="none"/>
                <w:lang w:val="en-US" w:eastAsia="zh-CN"/>
              </w:rPr>
              <w:t>原件</w:t>
            </w:r>
            <w:r>
              <w:rPr>
                <w:rFonts w:hint="eastAsia" w:ascii="宋体" w:hAnsi="宋体" w:cs="宋体"/>
                <w:highlight w:val="none"/>
              </w:rPr>
              <w:t>扫描件，未提供或提供不全的不得分）。</w:t>
            </w:r>
          </w:p>
        </w:tc>
      </w:tr>
      <w:tr w14:paraId="7A2205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5" w:hRule="atLeast"/>
        </w:trPr>
        <w:tc>
          <w:tcPr>
            <w:tcW w:w="1310" w:type="dxa"/>
            <w:noWrap w:val="0"/>
            <w:vAlign w:val="center"/>
          </w:tcPr>
          <w:p w14:paraId="7B7BF176">
            <w:pPr>
              <w:spacing w:before="65" w:line="228" w:lineRule="auto"/>
              <w:jc w:val="center"/>
              <w:rPr>
                <w:rFonts w:hint="eastAsia" w:ascii="宋体" w:hAnsi="宋体" w:eastAsia="宋体" w:cs="宋体"/>
                <w:spacing w:val="10"/>
                <w:highlight w:val="none"/>
              </w:rPr>
            </w:pPr>
            <w:r>
              <w:rPr>
                <w:rFonts w:hint="eastAsia" w:ascii="宋体" w:hAnsi="宋体" w:eastAsia="宋体" w:cs="宋体"/>
                <w:spacing w:val="10"/>
                <w:highlight w:val="none"/>
                <w:lang w:val="en-US" w:eastAsia="zh-CN"/>
              </w:rPr>
              <w:t>项目管理人员</w:t>
            </w:r>
          </w:p>
        </w:tc>
        <w:tc>
          <w:tcPr>
            <w:tcW w:w="833" w:type="dxa"/>
            <w:noWrap w:val="0"/>
            <w:vAlign w:val="center"/>
          </w:tcPr>
          <w:p w14:paraId="2A25281F">
            <w:pPr>
              <w:spacing w:before="65" w:line="228" w:lineRule="auto"/>
              <w:jc w:val="center"/>
              <w:rPr>
                <w:rFonts w:hint="default" w:ascii="宋体" w:hAnsi="宋体" w:eastAsia="宋体" w:cs="宋体"/>
                <w:spacing w:val="10"/>
                <w:highlight w:val="none"/>
                <w:lang w:val="en-US" w:eastAsia="zh-CN"/>
              </w:rPr>
            </w:pPr>
            <w:r>
              <w:rPr>
                <w:rFonts w:hint="eastAsia" w:ascii="宋体" w:hAnsi="宋体" w:cs="宋体"/>
                <w:spacing w:val="10"/>
                <w:highlight w:val="none"/>
                <w:lang w:val="en-US" w:eastAsia="zh-CN"/>
              </w:rPr>
              <w:t>4</w:t>
            </w:r>
          </w:p>
        </w:tc>
        <w:tc>
          <w:tcPr>
            <w:tcW w:w="7121" w:type="dxa"/>
            <w:noWrap w:val="0"/>
            <w:vAlign w:val="top"/>
          </w:tcPr>
          <w:p w14:paraId="7C03D1F8">
            <w:pPr>
              <w:numPr>
                <w:ilvl w:val="0"/>
                <w:numId w:val="0"/>
              </w:numPr>
              <w:spacing w:before="99" w:line="287" w:lineRule="auto"/>
              <w:ind w:left="114" w:right="106"/>
              <w:rPr>
                <w:rFonts w:hint="eastAsia"/>
                <w:highlight w:val="none"/>
              </w:rPr>
            </w:pPr>
            <w:r>
              <w:rPr>
                <w:rFonts w:hint="eastAsia" w:ascii="宋体" w:hAnsi="宋体" w:cs="宋体"/>
                <w:color w:val="auto"/>
                <w:sz w:val="21"/>
                <w:szCs w:val="21"/>
                <w:highlight w:val="none"/>
                <w:lang w:val="en-US" w:eastAsia="zh-CN"/>
              </w:rPr>
              <w:t>项目负责人承担类似项目无任何安全事故每提供一个得1分（建设单位出具的证明材料），最高得4分（投标时需提供相关原件扫描件，未提供不得分）。</w:t>
            </w:r>
          </w:p>
        </w:tc>
      </w:tr>
      <w:tr w14:paraId="67B818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3" w:hRule="atLeast"/>
        </w:trPr>
        <w:tc>
          <w:tcPr>
            <w:tcW w:w="1310" w:type="dxa"/>
            <w:noWrap w:val="0"/>
            <w:vAlign w:val="top"/>
          </w:tcPr>
          <w:p w14:paraId="6B565B92">
            <w:pPr>
              <w:spacing w:before="65" w:line="228" w:lineRule="auto"/>
              <w:jc w:val="center"/>
              <w:rPr>
                <w:rFonts w:hint="eastAsia" w:ascii="宋体" w:hAnsi="宋体" w:cs="宋体"/>
                <w:spacing w:val="10"/>
                <w:highlight w:val="none"/>
              </w:rPr>
            </w:pPr>
          </w:p>
          <w:p w14:paraId="6E8E7D39">
            <w:pPr>
              <w:spacing w:before="65" w:line="228" w:lineRule="auto"/>
              <w:jc w:val="center"/>
              <w:rPr>
                <w:rFonts w:hint="eastAsia" w:ascii="宋体" w:hAnsi="宋体" w:cs="宋体"/>
                <w:spacing w:val="10"/>
                <w:highlight w:val="none"/>
              </w:rPr>
            </w:pPr>
          </w:p>
          <w:p w14:paraId="180292DC">
            <w:pPr>
              <w:spacing w:before="65" w:line="228" w:lineRule="auto"/>
              <w:jc w:val="center"/>
              <w:rPr>
                <w:rFonts w:hint="eastAsia" w:ascii="宋体" w:hAnsi="宋体" w:cs="宋体"/>
                <w:sz w:val="21"/>
                <w:szCs w:val="21"/>
                <w:highlight w:val="none"/>
                <w:lang w:val="en-US" w:eastAsia="zh-CN" w:bidi="ar-SA"/>
              </w:rPr>
            </w:pPr>
            <w:r>
              <w:rPr>
                <w:rFonts w:hint="eastAsia" w:ascii="宋体" w:hAnsi="宋体" w:cs="宋体"/>
                <w:spacing w:val="10"/>
                <w:highlight w:val="none"/>
              </w:rPr>
              <w:t>配</w:t>
            </w:r>
            <w:r>
              <w:rPr>
                <w:rFonts w:hint="eastAsia" w:ascii="宋体" w:hAnsi="宋体" w:cs="宋体"/>
                <w:spacing w:val="8"/>
                <w:highlight w:val="none"/>
              </w:rPr>
              <w:t>置保障</w:t>
            </w:r>
          </w:p>
        </w:tc>
        <w:tc>
          <w:tcPr>
            <w:tcW w:w="833" w:type="dxa"/>
            <w:noWrap w:val="0"/>
            <w:vAlign w:val="top"/>
          </w:tcPr>
          <w:p w14:paraId="2A9E5C67">
            <w:pPr>
              <w:spacing w:line="190" w:lineRule="auto"/>
              <w:jc w:val="center"/>
              <w:rPr>
                <w:rFonts w:hint="eastAsia" w:ascii="宋体" w:hAnsi="宋体" w:cs="宋体"/>
                <w:highlight w:val="none"/>
              </w:rPr>
            </w:pPr>
          </w:p>
          <w:p w14:paraId="7E56A50D">
            <w:pPr>
              <w:spacing w:line="190" w:lineRule="auto"/>
              <w:ind w:firstLine="210"/>
              <w:rPr>
                <w:rFonts w:hint="eastAsia" w:ascii="宋体" w:hAnsi="宋体" w:cs="宋体"/>
                <w:highlight w:val="none"/>
              </w:rPr>
            </w:pPr>
          </w:p>
          <w:p w14:paraId="47DBB6ED">
            <w:pPr>
              <w:spacing w:line="190" w:lineRule="auto"/>
              <w:ind w:firstLine="210"/>
              <w:rPr>
                <w:rFonts w:hint="eastAsia" w:ascii="宋体" w:hAnsi="宋体" w:cs="宋体"/>
                <w:highlight w:val="none"/>
              </w:rPr>
            </w:pPr>
          </w:p>
          <w:p w14:paraId="653B1A29">
            <w:pPr>
              <w:spacing w:before="65" w:line="228" w:lineRule="auto"/>
              <w:jc w:val="center"/>
              <w:rPr>
                <w:rFonts w:hint="eastAsia" w:ascii="宋体" w:hAnsi="宋体" w:eastAsia="宋体" w:cs="宋体"/>
                <w:sz w:val="21"/>
                <w:szCs w:val="21"/>
                <w:highlight w:val="none"/>
                <w:lang w:val="en-US" w:eastAsia="zh-CN" w:bidi="ar-SA"/>
              </w:rPr>
            </w:pPr>
            <w:r>
              <w:rPr>
                <w:rFonts w:hint="eastAsia" w:ascii="宋体" w:hAnsi="宋体" w:cs="宋体"/>
                <w:spacing w:val="10"/>
                <w:highlight w:val="none"/>
                <w:lang w:val="en-US" w:eastAsia="zh-CN"/>
              </w:rPr>
              <w:t>5</w:t>
            </w:r>
          </w:p>
        </w:tc>
        <w:tc>
          <w:tcPr>
            <w:tcW w:w="7121" w:type="dxa"/>
            <w:noWrap w:val="0"/>
            <w:vAlign w:val="top"/>
          </w:tcPr>
          <w:p w14:paraId="1754774E">
            <w:pPr>
              <w:numPr>
                <w:ilvl w:val="0"/>
                <w:numId w:val="0"/>
              </w:numPr>
              <w:spacing w:before="99" w:line="287" w:lineRule="auto"/>
              <w:ind w:left="114" w:right="106" w:firstLine="0"/>
              <w:rPr>
                <w:rFonts w:hint="eastAsia"/>
                <w:sz w:val="21"/>
                <w:szCs w:val="21"/>
                <w:highlight w:val="none"/>
                <w:lang w:val="en-US" w:eastAsia="zh-CN" w:bidi="ar-SA"/>
              </w:rPr>
            </w:pPr>
            <w:r>
              <w:rPr>
                <w:rFonts w:hint="eastAsia"/>
                <w:highlight w:val="none"/>
              </w:rPr>
              <w:t>投标人</w:t>
            </w:r>
            <w:r>
              <w:rPr>
                <w:rFonts w:hint="eastAsia"/>
                <w:b/>
                <w:bCs/>
                <w:highlight w:val="none"/>
              </w:rPr>
              <w:t>另外配备全自动打捞保洁船或运输船</w:t>
            </w:r>
            <w:r>
              <w:rPr>
                <w:rFonts w:hint="eastAsia"/>
                <w:highlight w:val="none"/>
              </w:rPr>
              <w:t>，每提供一艘得1分，最高得5分</w:t>
            </w:r>
            <w:r>
              <w:rPr>
                <w:rFonts w:hint="eastAsia"/>
                <w:b/>
                <w:bCs/>
                <w:highlight w:val="none"/>
              </w:rPr>
              <w:t>(每艘船需配备一名具有市级及以上地方海事局颁发的《内河船舶船员适任证书》的操作人员</w:t>
            </w:r>
            <w:r>
              <w:rPr>
                <w:rFonts w:hint="eastAsia"/>
                <w:highlight w:val="none"/>
              </w:rPr>
              <w:t>，提供自购发票扫描件或租赁合同扫描件及所租赁物的购买发票扫描件(运输船无需提供发票扫描件)，还需提供船只发动机编号清晰照片及市级及以上地方海事部门颁发的相关检验证书或出厂合格证明材料，未提供相关材料或提供不全的不得分)。</w:t>
            </w:r>
          </w:p>
        </w:tc>
      </w:tr>
      <w:tr w14:paraId="207416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1" w:hRule="atLeast"/>
        </w:trPr>
        <w:tc>
          <w:tcPr>
            <w:tcW w:w="9264" w:type="dxa"/>
            <w:gridSpan w:val="3"/>
            <w:noWrap w:val="0"/>
            <w:vAlign w:val="top"/>
          </w:tcPr>
          <w:p w14:paraId="2C70D20A">
            <w:pPr>
              <w:spacing w:before="33" w:line="228" w:lineRule="auto"/>
              <w:rPr>
                <w:rFonts w:hint="eastAsia" w:ascii="宋体" w:hAnsi="宋体" w:cs="宋体"/>
              </w:rPr>
            </w:pPr>
            <w:r>
              <w:rPr>
                <w:rFonts w:hint="eastAsia" w:ascii="宋体" w:hAnsi="宋体" w:cs="宋体"/>
                <w:spacing w:val="8"/>
              </w:rPr>
              <w:t>技术分（</w:t>
            </w:r>
            <w:r>
              <w:rPr>
                <w:rFonts w:hint="eastAsia" w:ascii="宋体" w:hAnsi="宋体" w:cs="宋体"/>
                <w:spacing w:val="8"/>
                <w:lang w:val="en-US" w:eastAsia="zh-CN"/>
              </w:rPr>
              <w:t>60</w:t>
            </w:r>
            <w:r>
              <w:rPr>
                <w:rFonts w:hint="eastAsia" w:ascii="宋体" w:hAnsi="宋体" w:cs="宋体"/>
                <w:spacing w:val="8"/>
              </w:rPr>
              <w:t>）</w:t>
            </w:r>
          </w:p>
        </w:tc>
      </w:tr>
      <w:tr w14:paraId="579776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310" w:type="dxa"/>
            <w:noWrap w:val="0"/>
            <w:vAlign w:val="top"/>
          </w:tcPr>
          <w:p w14:paraId="197D9952">
            <w:pPr>
              <w:spacing w:line="277" w:lineRule="auto"/>
              <w:rPr>
                <w:rFonts w:hint="eastAsia" w:ascii="宋体" w:hAnsi="宋体" w:eastAsia="宋体" w:cs="宋体"/>
                <w:color w:val="auto"/>
                <w:sz w:val="21"/>
                <w:szCs w:val="21"/>
                <w:highlight w:val="none"/>
              </w:rPr>
            </w:pPr>
          </w:p>
          <w:p w14:paraId="3415EE3B">
            <w:pPr>
              <w:spacing w:before="65" w:line="228" w:lineRule="auto"/>
              <w:ind w:left="150"/>
              <w:jc w:val="center"/>
              <w:rPr>
                <w:rFonts w:hint="eastAsia" w:ascii="宋体" w:hAnsi="宋体" w:cs="宋体"/>
                <w:highlight w:val="none"/>
              </w:rPr>
            </w:pPr>
            <w:r>
              <w:rPr>
                <w:rFonts w:hint="eastAsia" w:ascii="宋体" w:hAnsi="宋体" w:eastAsia="宋体" w:cs="宋体"/>
                <w:color w:val="auto"/>
                <w:spacing w:val="12"/>
                <w:sz w:val="21"/>
                <w:szCs w:val="21"/>
                <w:highlight w:val="none"/>
              </w:rPr>
              <w:t>管</w:t>
            </w:r>
            <w:r>
              <w:rPr>
                <w:rFonts w:hint="eastAsia" w:ascii="宋体" w:hAnsi="宋体" w:eastAsia="宋体" w:cs="宋体"/>
                <w:color w:val="auto"/>
                <w:spacing w:val="8"/>
                <w:sz w:val="21"/>
                <w:szCs w:val="21"/>
                <w:highlight w:val="none"/>
              </w:rPr>
              <w:t>理</w:t>
            </w:r>
            <w:r>
              <w:rPr>
                <w:rFonts w:hint="eastAsia" w:ascii="宋体" w:hAnsi="宋体" w:eastAsia="宋体" w:cs="宋体"/>
                <w:color w:val="auto"/>
                <w:spacing w:val="8"/>
                <w:sz w:val="21"/>
                <w:szCs w:val="21"/>
                <w:highlight w:val="none"/>
                <w:lang w:eastAsia="zh-CN"/>
              </w:rPr>
              <w:t>模式</w:t>
            </w:r>
            <w:r>
              <w:rPr>
                <w:rFonts w:hint="eastAsia" w:ascii="宋体" w:hAnsi="宋体" w:eastAsia="宋体" w:cs="宋体"/>
                <w:color w:val="auto"/>
                <w:spacing w:val="8"/>
                <w:sz w:val="21"/>
                <w:szCs w:val="21"/>
                <w:highlight w:val="none"/>
              </w:rPr>
              <w:t>及目标</w:t>
            </w:r>
          </w:p>
        </w:tc>
        <w:tc>
          <w:tcPr>
            <w:tcW w:w="833" w:type="dxa"/>
            <w:noWrap w:val="0"/>
            <w:vAlign w:val="top"/>
          </w:tcPr>
          <w:p w14:paraId="73909B5A">
            <w:pPr>
              <w:spacing w:before="65" w:line="192" w:lineRule="auto"/>
              <w:ind w:left="275"/>
              <w:rPr>
                <w:rFonts w:hint="eastAsia" w:ascii="宋体" w:hAnsi="宋体" w:eastAsia="宋体" w:cs="宋体"/>
                <w:color w:val="auto"/>
                <w:sz w:val="21"/>
                <w:szCs w:val="21"/>
                <w:highlight w:val="none"/>
              </w:rPr>
            </w:pPr>
          </w:p>
          <w:p w14:paraId="79599243">
            <w:pPr>
              <w:spacing w:before="65" w:line="192" w:lineRule="auto"/>
              <w:ind w:left="275"/>
              <w:rPr>
                <w:rFonts w:hint="eastAsia" w:ascii="宋体" w:hAnsi="宋体" w:cs="宋体"/>
                <w:highlight w:val="none"/>
                <w:lang w:val="en-US" w:eastAsia="zh-CN"/>
              </w:rPr>
            </w:pPr>
          </w:p>
          <w:p w14:paraId="37658D64">
            <w:pPr>
              <w:spacing w:before="65" w:line="192" w:lineRule="auto"/>
              <w:ind w:left="275"/>
              <w:rPr>
                <w:rFonts w:hint="eastAsia" w:ascii="宋体" w:hAnsi="宋体" w:cs="宋体"/>
                <w:highlight w:val="none"/>
                <w:lang w:val="en-US" w:eastAsia="zh-CN"/>
              </w:rPr>
            </w:pPr>
          </w:p>
          <w:p w14:paraId="61A21C73">
            <w:pPr>
              <w:spacing w:before="65" w:line="192" w:lineRule="auto"/>
              <w:ind w:left="275"/>
              <w:rPr>
                <w:rFonts w:hint="default" w:ascii="宋体" w:hAnsi="宋体" w:eastAsia="宋体" w:cs="宋体"/>
                <w:highlight w:val="none"/>
                <w:lang w:val="en-US" w:eastAsia="zh-CN"/>
              </w:rPr>
            </w:pPr>
            <w:r>
              <w:rPr>
                <w:rFonts w:hint="eastAsia" w:ascii="宋体" w:hAnsi="宋体" w:cs="宋体"/>
                <w:highlight w:val="none"/>
                <w:lang w:val="en-US" w:eastAsia="zh-CN"/>
              </w:rPr>
              <w:t>8</w:t>
            </w:r>
          </w:p>
        </w:tc>
        <w:tc>
          <w:tcPr>
            <w:tcW w:w="7121" w:type="dxa"/>
            <w:noWrap w:val="0"/>
            <w:vAlign w:val="top"/>
          </w:tcPr>
          <w:p w14:paraId="42E2D6BA">
            <w:pPr>
              <w:spacing w:before="36" w:line="301" w:lineRule="auto"/>
              <w:ind w:left="112" w:right="64" w:firstLine="2"/>
              <w:rPr>
                <w:rFonts w:hint="eastAsia" w:ascii="宋体" w:hAnsi="宋体" w:cs="宋体"/>
                <w:highlight w:val="none"/>
              </w:rPr>
            </w:pPr>
            <w:r>
              <w:rPr>
                <w:rFonts w:hint="eastAsia" w:ascii="宋体" w:hAnsi="宋体" w:cs="宋体"/>
                <w:highlight w:val="none"/>
              </w:rPr>
              <w:t>投标人应在标书中明确表述出对招标项目的河道垃圾清捞收集及清运服务的管理模式及目标[包括河道垃圾清捞、分类、清运、保洁、质量、安全等]，管理模式应从适应招标项目实际情况，内容完整，优于项目需求的得8分；满足采购人服务管理需求，目标明确可操作性强的得</w:t>
            </w:r>
            <w:r>
              <w:rPr>
                <w:rFonts w:hint="eastAsia" w:ascii="宋体" w:hAnsi="宋体" w:cs="宋体"/>
                <w:highlight w:val="none"/>
                <w:lang w:val="en-US" w:eastAsia="zh-CN"/>
              </w:rPr>
              <w:t>6.4</w:t>
            </w:r>
            <w:r>
              <w:rPr>
                <w:rFonts w:hint="eastAsia" w:ascii="宋体" w:hAnsi="宋体" w:cs="宋体"/>
                <w:highlight w:val="none"/>
              </w:rPr>
              <w:t>分；针对性一般、目标内容基本明确的得</w:t>
            </w:r>
            <w:r>
              <w:rPr>
                <w:rFonts w:hint="eastAsia" w:ascii="宋体" w:hAnsi="宋体" w:cs="宋体"/>
                <w:highlight w:val="none"/>
                <w:lang w:val="en-US" w:eastAsia="zh-CN"/>
              </w:rPr>
              <w:t>4.8</w:t>
            </w:r>
            <w:r>
              <w:rPr>
                <w:rFonts w:hint="eastAsia" w:ascii="宋体" w:hAnsi="宋体" w:cs="宋体"/>
                <w:highlight w:val="none"/>
              </w:rPr>
              <w:t>分；针对性欠佳，目标内容表述不清的得</w:t>
            </w:r>
            <w:r>
              <w:rPr>
                <w:rFonts w:hint="eastAsia" w:ascii="宋体" w:hAnsi="宋体" w:cs="宋体"/>
                <w:highlight w:val="none"/>
                <w:lang w:val="en-US" w:eastAsia="zh-CN"/>
              </w:rPr>
              <w:t>4</w:t>
            </w:r>
            <w:r>
              <w:rPr>
                <w:rFonts w:hint="eastAsia" w:ascii="宋体" w:hAnsi="宋体" w:cs="宋体"/>
                <w:highlight w:val="none"/>
              </w:rPr>
              <w:t>分。未提供本项内容的本项不得分。</w:t>
            </w:r>
          </w:p>
        </w:tc>
      </w:tr>
      <w:tr w14:paraId="5343FA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55" w:hRule="atLeast"/>
        </w:trPr>
        <w:tc>
          <w:tcPr>
            <w:tcW w:w="1310" w:type="dxa"/>
            <w:noWrap w:val="0"/>
            <w:vAlign w:val="top"/>
          </w:tcPr>
          <w:p w14:paraId="151E58B8">
            <w:pPr>
              <w:spacing w:line="310" w:lineRule="auto"/>
              <w:rPr>
                <w:rFonts w:hint="eastAsia" w:ascii="宋体" w:hAnsi="宋体" w:eastAsia="宋体" w:cs="宋体"/>
                <w:color w:val="auto"/>
                <w:sz w:val="21"/>
                <w:szCs w:val="21"/>
                <w:highlight w:val="none"/>
              </w:rPr>
            </w:pPr>
          </w:p>
          <w:p w14:paraId="64A6E6E4">
            <w:pPr>
              <w:spacing w:before="80" w:line="228" w:lineRule="auto"/>
              <w:jc w:val="center"/>
              <w:rPr>
                <w:rFonts w:hint="eastAsia" w:ascii="宋体" w:hAnsi="宋体" w:cs="宋体"/>
                <w:highlight w:val="none"/>
              </w:rPr>
            </w:pPr>
            <w:r>
              <w:rPr>
                <w:rFonts w:hint="eastAsia" w:ascii="宋体" w:hAnsi="宋体" w:eastAsia="宋体" w:cs="宋体"/>
                <w:color w:val="auto"/>
                <w:spacing w:val="-8"/>
                <w:sz w:val="21"/>
                <w:szCs w:val="21"/>
                <w:highlight w:val="none"/>
                <w:lang w:val="en-US" w:eastAsia="zh-CN"/>
              </w:rPr>
              <w:t>项目的管理机构、各部门分工</w:t>
            </w:r>
          </w:p>
        </w:tc>
        <w:tc>
          <w:tcPr>
            <w:tcW w:w="833" w:type="dxa"/>
            <w:noWrap w:val="0"/>
            <w:vAlign w:val="top"/>
          </w:tcPr>
          <w:p w14:paraId="69B67E86">
            <w:pPr>
              <w:spacing w:line="244" w:lineRule="auto"/>
              <w:rPr>
                <w:rFonts w:hint="eastAsia" w:ascii="宋体" w:hAnsi="宋体" w:eastAsia="宋体" w:cs="宋体"/>
                <w:color w:val="auto"/>
                <w:sz w:val="21"/>
                <w:szCs w:val="21"/>
                <w:highlight w:val="none"/>
              </w:rPr>
            </w:pPr>
          </w:p>
          <w:p w14:paraId="2F81D692">
            <w:pPr>
              <w:spacing w:line="245" w:lineRule="auto"/>
              <w:rPr>
                <w:rFonts w:hint="eastAsia" w:ascii="宋体" w:hAnsi="宋体" w:eastAsia="宋体" w:cs="宋体"/>
                <w:color w:val="auto"/>
                <w:sz w:val="21"/>
                <w:szCs w:val="21"/>
                <w:highlight w:val="none"/>
              </w:rPr>
            </w:pPr>
          </w:p>
          <w:p w14:paraId="60B50BE4">
            <w:pPr>
              <w:spacing w:before="65" w:line="193" w:lineRule="auto"/>
              <w:ind w:left="238"/>
              <w:rPr>
                <w:rFonts w:hint="default" w:ascii="宋体" w:hAnsi="宋体" w:eastAsia="宋体" w:cs="宋体"/>
                <w:highlight w:val="none"/>
                <w:lang w:val="en-US" w:eastAsia="zh-CN"/>
              </w:rPr>
            </w:pPr>
            <w:r>
              <w:rPr>
                <w:rFonts w:hint="eastAsia" w:ascii="宋体" w:hAnsi="宋体" w:cs="宋体"/>
                <w:highlight w:val="none"/>
                <w:lang w:val="en-US" w:eastAsia="zh-CN"/>
              </w:rPr>
              <w:t>8</w:t>
            </w:r>
          </w:p>
        </w:tc>
        <w:tc>
          <w:tcPr>
            <w:tcW w:w="7121" w:type="dxa"/>
            <w:noWrap w:val="0"/>
            <w:vAlign w:val="top"/>
          </w:tcPr>
          <w:p w14:paraId="372C55C3">
            <w:pPr>
              <w:spacing w:before="79" w:line="302" w:lineRule="auto"/>
              <w:ind w:left="115" w:right="105" w:hanging="3"/>
              <w:rPr>
                <w:rFonts w:hint="eastAsia" w:ascii="宋体" w:hAnsi="宋体" w:cs="宋体"/>
                <w:highlight w:val="none"/>
              </w:rPr>
            </w:pPr>
            <w:r>
              <w:rPr>
                <w:rFonts w:hint="eastAsia" w:ascii="宋体" w:hAnsi="宋体" w:eastAsia="宋体" w:cs="宋体"/>
                <w:color w:val="auto"/>
                <w:spacing w:val="5"/>
                <w:sz w:val="21"/>
                <w:szCs w:val="21"/>
                <w:highlight w:val="none"/>
              </w:rPr>
              <w:t>项目管理机构</w:t>
            </w:r>
            <w:r>
              <w:rPr>
                <w:rFonts w:hint="eastAsia" w:ascii="宋体" w:hAnsi="宋体" w:eastAsia="宋体" w:cs="宋体"/>
                <w:color w:val="auto"/>
                <w:spacing w:val="5"/>
                <w:sz w:val="21"/>
                <w:szCs w:val="21"/>
                <w:highlight w:val="none"/>
                <w:lang w:eastAsia="zh-CN"/>
              </w:rPr>
              <w:t>及</w:t>
            </w:r>
            <w:r>
              <w:rPr>
                <w:rFonts w:hint="eastAsia" w:ascii="宋体" w:hAnsi="宋体" w:eastAsia="宋体" w:cs="宋体"/>
                <w:color w:val="auto"/>
                <w:spacing w:val="5"/>
                <w:sz w:val="21"/>
                <w:szCs w:val="21"/>
                <w:highlight w:val="none"/>
              </w:rPr>
              <w:t>各部门分工明确完整、全面、与现场实际情况结合切实可行</w:t>
            </w:r>
            <w:r>
              <w:rPr>
                <w:rFonts w:hint="eastAsia" w:ascii="宋体" w:hAnsi="宋体" w:cs="宋体"/>
                <w:color w:val="auto"/>
                <w:spacing w:val="5"/>
                <w:sz w:val="21"/>
                <w:szCs w:val="21"/>
                <w:highlight w:val="none"/>
                <w:lang w:eastAsia="zh-CN"/>
              </w:rPr>
              <w:t>，</w:t>
            </w:r>
            <w:r>
              <w:rPr>
                <w:rFonts w:hint="eastAsia" w:ascii="宋体" w:hAnsi="宋体" w:eastAsia="宋体" w:cs="宋体"/>
                <w:color w:val="auto"/>
                <w:sz w:val="21"/>
                <w:szCs w:val="21"/>
                <w:highlight w:val="none"/>
                <w:lang w:val="en-US" w:eastAsia="zh-CN"/>
              </w:rPr>
              <w:t>内容完整，优于项目需求的得8分；</w:t>
            </w:r>
            <w:r>
              <w:rPr>
                <w:rFonts w:hint="eastAsia" w:ascii="宋体" w:hAnsi="宋体" w:eastAsia="宋体" w:cs="宋体"/>
                <w:color w:val="auto"/>
                <w:sz w:val="21"/>
                <w:szCs w:val="21"/>
                <w:highlight w:val="none"/>
              </w:rPr>
              <w:t>满足采购人服务管理需求，目标明确可操作性强的</w:t>
            </w:r>
            <w:r>
              <w:rPr>
                <w:rFonts w:hint="eastAsia" w:ascii="宋体" w:hAnsi="宋体" w:eastAsia="宋体" w:cs="宋体"/>
                <w:color w:val="auto"/>
                <w:sz w:val="21"/>
                <w:szCs w:val="21"/>
                <w:highlight w:val="none"/>
                <w:lang w:eastAsia="zh-CN"/>
              </w:rPr>
              <w:t>得</w:t>
            </w:r>
            <w:r>
              <w:rPr>
                <w:rFonts w:hint="eastAsia" w:ascii="宋体" w:hAnsi="宋体" w:cs="宋体"/>
                <w:color w:val="auto"/>
                <w:sz w:val="21"/>
                <w:szCs w:val="21"/>
                <w:highlight w:val="none"/>
                <w:lang w:val="en-US" w:eastAsia="zh-CN"/>
              </w:rPr>
              <w:t>6.4</w:t>
            </w:r>
            <w:r>
              <w:rPr>
                <w:rFonts w:hint="eastAsia" w:ascii="宋体" w:hAnsi="宋体" w:eastAsia="宋体" w:cs="宋体"/>
                <w:color w:val="auto"/>
                <w:sz w:val="21"/>
                <w:szCs w:val="21"/>
                <w:highlight w:val="none"/>
              </w:rPr>
              <w:t>分；针对性一般、目标内容基本明确的</w:t>
            </w:r>
            <w:r>
              <w:rPr>
                <w:rFonts w:hint="eastAsia" w:ascii="宋体" w:hAnsi="宋体" w:cs="宋体"/>
                <w:color w:val="auto"/>
                <w:spacing w:val="5"/>
                <w:sz w:val="21"/>
                <w:szCs w:val="21"/>
                <w:highlight w:val="none"/>
                <w:lang w:eastAsia="zh-CN"/>
              </w:rPr>
              <w:t>得</w:t>
            </w:r>
            <w:r>
              <w:rPr>
                <w:rFonts w:hint="eastAsia" w:ascii="宋体" w:hAnsi="宋体" w:cs="宋体"/>
                <w:color w:val="auto"/>
                <w:spacing w:val="5"/>
                <w:sz w:val="21"/>
                <w:szCs w:val="21"/>
                <w:highlight w:val="none"/>
                <w:lang w:val="en-US" w:eastAsia="zh-CN"/>
              </w:rPr>
              <w:t>4.8</w:t>
            </w:r>
            <w:r>
              <w:rPr>
                <w:rFonts w:hint="eastAsia" w:ascii="宋体" w:hAnsi="宋体" w:eastAsia="宋体" w:cs="宋体"/>
                <w:color w:val="auto"/>
                <w:spacing w:val="-3"/>
                <w:sz w:val="21"/>
                <w:szCs w:val="21"/>
                <w:highlight w:val="none"/>
              </w:rPr>
              <w:t>分；针对性欠佳，目标内容表述不清的</w:t>
            </w:r>
            <w:r>
              <w:rPr>
                <w:rFonts w:hint="eastAsia" w:ascii="宋体" w:hAnsi="宋体" w:cs="宋体"/>
                <w:color w:val="auto"/>
                <w:spacing w:val="5"/>
                <w:sz w:val="21"/>
                <w:szCs w:val="21"/>
                <w:highlight w:val="none"/>
                <w:lang w:eastAsia="zh-CN"/>
              </w:rPr>
              <w:t>得</w:t>
            </w:r>
            <w:r>
              <w:rPr>
                <w:rFonts w:hint="eastAsia" w:ascii="宋体" w:hAnsi="宋体" w:cs="宋体"/>
                <w:color w:val="auto"/>
                <w:spacing w:val="5"/>
                <w:sz w:val="21"/>
                <w:szCs w:val="21"/>
                <w:highlight w:val="none"/>
                <w:lang w:val="en-US" w:eastAsia="zh-CN"/>
              </w:rPr>
              <w:t>4</w:t>
            </w:r>
            <w:r>
              <w:rPr>
                <w:rFonts w:hint="eastAsia" w:ascii="宋体" w:hAnsi="宋体" w:eastAsia="宋体" w:cs="宋体"/>
                <w:color w:val="auto"/>
                <w:spacing w:val="-3"/>
                <w:sz w:val="21"/>
                <w:szCs w:val="21"/>
                <w:highlight w:val="none"/>
                <w:lang w:val="en-US" w:eastAsia="zh-CN"/>
              </w:rPr>
              <w:t>分。未提供本项内容的本项不得分</w:t>
            </w:r>
            <w:r>
              <w:rPr>
                <w:rFonts w:hint="eastAsia" w:ascii="宋体" w:hAnsi="宋体" w:eastAsia="宋体" w:cs="宋体"/>
                <w:color w:val="auto"/>
                <w:spacing w:val="-4"/>
                <w:sz w:val="21"/>
                <w:szCs w:val="21"/>
                <w:highlight w:val="none"/>
              </w:rPr>
              <w:t>。</w:t>
            </w:r>
          </w:p>
        </w:tc>
      </w:tr>
      <w:tr w14:paraId="39C1F5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310" w:type="dxa"/>
            <w:noWrap w:val="0"/>
            <w:vAlign w:val="top"/>
          </w:tcPr>
          <w:p w14:paraId="2847E830">
            <w:pPr>
              <w:spacing w:line="314" w:lineRule="auto"/>
              <w:rPr>
                <w:rFonts w:hint="eastAsia" w:ascii="宋体" w:hAnsi="宋体" w:eastAsia="宋体" w:cs="宋体"/>
                <w:color w:val="0000FF"/>
                <w:sz w:val="21"/>
                <w:szCs w:val="21"/>
                <w:highlight w:val="none"/>
              </w:rPr>
            </w:pPr>
          </w:p>
          <w:p w14:paraId="3C669715">
            <w:pPr>
              <w:spacing w:line="314" w:lineRule="auto"/>
              <w:rPr>
                <w:rFonts w:hint="eastAsia" w:ascii="宋体" w:hAnsi="宋体" w:eastAsia="宋体" w:cs="宋体"/>
                <w:color w:val="0000FF"/>
                <w:sz w:val="21"/>
                <w:szCs w:val="21"/>
                <w:highlight w:val="none"/>
              </w:rPr>
            </w:pPr>
          </w:p>
          <w:p w14:paraId="22184FB1">
            <w:pPr>
              <w:spacing w:line="314" w:lineRule="auto"/>
              <w:rPr>
                <w:rFonts w:hint="eastAsia" w:ascii="宋体" w:hAnsi="宋体" w:eastAsia="宋体" w:cs="宋体"/>
                <w:color w:val="0000FF"/>
                <w:sz w:val="21"/>
                <w:szCs w:val="21"/>
                <w:highlight w:val="none"/>
              </w:rPr>
            </w:pPr>
          </w:p>
          <w:p w14:paraId="35F60213">
            <w:pPr>
              <w:spacing w:before="65" w:line="227" w:lineRule="auto"/>
              <w:jc w:val="center"/>
              <w:rPr>
                <w:rFonts w:hint="eastAsia" w:ascii="宋体" w:hAnsi="宋体" w:cs="宋体"/>
                <w:color w:val="0000FF"/>
                <w:highlight w:val="none"/>
              </w:rPr>
            </w:pPr>
            <w:r>
              <w:rPr>
                <w:rFonts w:hint="eastAsia" w:ascii="宋体" w:hAnsi="宋体" w:eastAsia="宋体" w:cs="宋体"/>
                <w:color w:val="auto"/>
                <w:spacing w:val="-8"/>
                <w:sz w:val="21"/>
                <w:szCs w:val="21"/>
                <w:highlight w:val="none"/>
                <w:lang w:val="en-US" w:eastAsia="zh-CN"/>
              </w:rPr>
              <w:t>人员配备</w:t>
            </w:r>
          </w:p>
        </w:tc>
        <w:tc>
          <w:tcPr>
            <w:tcW w:w="833" w:type="dxa"/>
            <w:noWrap w:val="0"/>
            <w:vAlign w:val="top"/>
          </w:tcPr>
          <w:p w14:paraId="5E62B5F2">
            <w:pPr>
              <w:spacing w:line="243" w:lineRule="auto"/>
              <w:rPr>
                <w:rFonts w:hint="eastAsia" w:ascii="宋体" w:hAnsi="宋体" w:eastAsia="宋体" w:cs="宋体"/>
                <w:b w:val="0"/>
                <w:bCs w:val="0"/>
                <w:color w:val="auto"/>
                <w:sz w:val="21"/>
                <w:szCs w:val="21"/>
                <w:highlight w:val="none"/>
              </w:rPr>
            </w:pPr>
          </w:p>
          <w:p w14:paraId="26473EA6">
            <w:pPr>
              <w:spacing w:line="243" w:lineRule="auto"/>
              <w:rPr>
                <w:rFonts w:hint="eastAsia" w:ascii="宋体" w:hAnsi="宋体" w:eastAsia="宋体" w:cs="宋体"/>
                <w:b w:val="0"/>
                <w:bCs w:val="0"/>
                <w:color w:val="auto"/>
                <w:sz w:val="21"/>
                <w:szCs w:val="21"/>
                <w:highlight w:val="none"/>
              </w:rPr>
            </w:pPr>
          </w:p>
          <w:p w14:paraId="39A0ACA2">
            <w:pPr>
              <w:spacing w:line="244" w:lineRule="auto"/>
              <w:rPr>
                <w:rFonts w:hint="eastAsia" w:ascii="宋体" w:hAnsi="宋体" w:eastAsia="宋体" w:cs="宋体"/>
                <w:b w:val="0"/>
                <w:bCs w:val="0"/>
                <w:color w:val="auto"/>
                <w:sz w:val="21"/>
                <w:szCs w:val="21"/>
                <w:highlight w:val="none"/>
              </w:rPr>
            </w:pPr>
          </w:p>
          <w:p w14:paraId="46B26975">
            <w:pPr>
              <w:spacing w:line="244" w:lineRule="auto"/>
              <w:rPr>
                <w:rFonts w:hint="eastAsia" w:ascii="宋体" w:hAnsi="宋体" w:eastAsia="宋体" w:cs="宋体"/>
                <w:b w:val="0"/>
                <w:bCs w:val="0"/>
                <w:color w:val="auto"/>
                <w:sz w:val="21"/>
                <w:szCs w:val="21"/>
                <w:highlight w:val="none"/>
              </w:rPr>
            </w:pPr>
          </w:p>
          <w:p w14:paraId="649DD4D6">
            <w:pPr>
              <w:spacing w:before="65" w:line="193" w:lineRule="auto"/>
              <w:ind w:left="238"/>
              <w:rPr>
                <w:rFonts w:hint="eastAsia" w:ascii="宋体" w:hAnsi="宋体" w:eastAsia="宋体" w:cs="宋体"/>
                <w:highlight w:val="none"/>
                <w:lang w:val="en-US" w:eastAsia="zh-CN"/>
              </w:rPr>
            </w:pPr>
            <w:r>
              <w:rPr>
                <w:rFonts w:hint="eastAsia" w:ascii="宋体" w:hAnsi="宋体" w:cs="宋体"/>
                <w:highlight w:val="none"/>
                <w:lang w:val="en-US" w:eastAsia="zh-CN"/>
              </w:rPr>
              <w:t>9</w:t>
            </w:r>
          </w:p>
        </w:tc>
        <w:tc>
          <w:tcPr>
            <w:tcW w:w="7121" w:type="dxa"/>
            <w:noWrap w:val="0"/>
            <w:vAlign w:val="top"/>
          </w:tcPr>
          <w:p w14:paraId="09AC54AA">
            <w:pPr>
              <w:pStyle w:val="6"/>
              <w:rPr>
                <w:rFonts w:hint="eastAsia" w:ascii="宋体" w:hAnsi="宋体" w:eastAsia="宋体" w:cs="宋体"/>
                <w:b/>
                <w:bCs/>
                <w:color w:val="auto"/>
                <w:spacing w:val="5"/>
                <w:sz w:val="21"/>
                <w:szCs w:val="21"/>
                <w:highlight w:val="none"/>
                <w:lang w:val="en-US" w:eastAsia="zh-CN" w:bidi="ar-SA"/>
              </w:rPr>
            </w:pPr>
            <w:r>
              <w:rPr>
                <w:rFonts w:hint="eastAsia" w:ascii="宋体" w:hAnsi="宋体" w:eastAsia="宋体" w:cs="宋体"/>
                <w:b w:val="0"/>
                <w:bCs w:val="0"/>
                <w:color w:val="auto"/>
                <w:spacing w:val="5"/>
                <w:sz w:val="21"/>
                <w:szCs w:val="21"/>
                <w:highlight w:val="none"/>
                <w:lang w:val="en-US" w:eastAsia="zh-CN" w:bidi="ar-SA"/>
              </w:rPr>
              <w:t>根据投标人项目管理架构、岗位设置、职责分工、管理技术人员的经验、专业水平，对人员配置方案的完整性、合理性、可行性进行综合评价。分工明确，配置方案完整，科学合理，针对性内容完整，优于项目需求的得9分；满足采购人服务管理需求，目标明确可操作性强的得7.2分；针对性一般、目标内容基本明确的得5.4分；针对性欠佳，目标内容表述不清的得4.5分。未提供本项内容的本项不得分。</w:t>
            </w:r>
          </w:p>
          <w:p w14:paraId="269F6E06">
            <w:pPr>
              <w:pStyle w:val="6"/>
              <w:rPr>
                <w:rFonts w:hint="eastAsia" w:ascii="宋体" w:hAnsi="宋体" w:cs="宋体"/>
                <w:highlight w:val="none"/>
              </w:rPr>
            </w:pPr>
            <w:r>
              <w:rPr>
                <w:rFonts w:hint="eastAsia" w:ascii="宋体" w:hAnsi="宋体" w:eastAsia="宋体" w:cs="宋体"/>
                <w:b/>
                <w:bCs/>
                <w:color w:val="auto"/>
                <w:spacing w:val="5"/>
                <w:sz w:val="21"/>
                <w:szCs w:val="21"/>
                <w:highlight w:val="none"/>
                <w:lang w:val="en-US" w:eastAsia="zh-CN" w:bidi="ar-SA"/>
              </w:rPr>
              <w:t>注：项目组成人员不得在其他项目中兼职，一旦发现，招标人有权取消其中标资格并追究其相应责任。</w:t>
            </w:r>
          </w:p>
        </w:tc>
      </w:tr>
      <w:tr w14:paraId="330E2D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8" w:hRule="atLeast"/>
        </w:trPr>
        <w:tc>
          <w:tcPr>
            <w:tcW w:w="1310" w:type="dxa"/>
            <w:noWrap w:val="0"/>
            <w:vAlign w:val="top"/>
          </w:tcPr>
          <w:p w14:paraId="5CA5E65D">
            <w:pPr>
              <w:spacing w:before="65" w:line="227" w:lineRule="auto"/>
              <w:jc w:val="center"/>
              <w:rPr>
                <w:rFonts w:hint="eastAsia" w:ascii="宋体" w:hAnsi="宋体" w:eastAsia="宋体" w:cs="宋体"/>
                <w:color w:val="auto"/>
                <w:spacing w:val="10"/>
                <w:sz w:val="21"/>
                <w:szCs w:val="21"/>
                <w:highlight w:val="none"/>
                <w:lang w:eastAsia="zh-CN"/>
              </w:rPr>
            </w:pPr>
          </w:p>
          <w:p w14:paraId="5E94C629">
            <w:pPr>
              <w:spacing w:before="65" w:line="227" w:lineRule="auto"/>
              <w:jc w:val="center"/>
              <w:rPr>
                <w:rFonts w:hint="eastAsia" w:ascii="宋体" w:hAnsi="宋体" w:eastAsia="宋体" w:cs="宋体"/>
                <w:color w:val="auto"/>
                <w:spacing w:val="10"/>
                <w:sz w:val="21"/>
                <w:szCs w:val="21"/>
                <w:highlight w:val="none"/>
                <w:lang w:eastAsia="zh-CN"/>
              </w:rPr>
            </w:pPr>
          </w:p>
          <w:p w14:paraId="016733B7">
            <w:pPr>
              <w:spacing w:before="65" w:line="227" w:lineRule="auto"/>
              <w:jc w:val="center"/>
              <w:rPr>
                <w:rFonts w:hint="eastAsia" w:ascii="宋体" w:hAnsi="宋体" w:cs="宋体"/>
                <w:spacing w:val="10"/>
                <w:highlight w:val="none"/>
              </w:rPr>
            </w:pPr>
            <w:r>
              <w:rPr>
                <w:rFonts w:hint="eastAsia" w:ascii="宋体" w:hAnsi="宋体" w:eastAsia="宋体" w:cs="宋体"/>
                <w:color w:val="auto"/>
                <w:spacing w:val="10"/>
                <w:sz w:val="21"/>
                <w:szCs w:val="21"/>
                <w:highlight w:val="none"/>
                <w:lang w:eastAsia="zh-CN"/>
              </w:rPr>
              <w:t>各项操作程序、管护保洁标准</w:t>
            </w:r>
          </w:p>
        </w:tc>
        <w:tc>
          <w:tcPr>
            <w:tcW w:w="833" w:type="dxa"/>
            <w:noWrap w:val="0"/>
            <w:vAlign w:val="top"/>
          </w:tcPr>
          <w:p w14:paraId="2A394DDF">
            <w:pPr>
              <w:spacing w:before="65" w:line="193" w:lineRule="auto"/>
              <w:ind w:left="238"/>
              <w:rPr>
                <w:rFonts w:hint="eastAsia" w:ascii="宋体" w:hAnsi="宋体" w:eastAsia="宋体" w:cs="宋体"/>
                <w:b w:val="0"/>
                <w:bCs w:val="0"/>
                <w:color w:val="auto"/>
                <w:sz w:val="21"/>
                <w:szCs w:val="21"/>
                <w:highlight w:val="none"/>
                <w:lang w:val="en-US" w:eastAsia="zh-CN"/>
              </w:rPr>
            </w:pPr>
          </w:p>
          <w:p w14:paraId="39BC4467">
            <w:pPr>
              <w:pStyle w:val="6"/>
              <w:rPr>
                <w:rFonts w:hint="eastAsia" w:ascii="宋体" w:hAnsi="宋体" w:eastAsia="宋体" w:cs="宋体"/>
                <w:b w:val="0"/>
                <w:bCs w:val="0"/>
                <w:color w:val="auto"/>
                <w:sz w:val="21"/>
                <w:szCs w:val="21"/>
                <w:highlight w:val="none"/>
                <w:lang w:val="en-US" w:eastAsia="zh-CN"/>
              </w:rPr>
            </w:pPr>
          </w:p>
          <w:p w14:paraId="27F65C9F">
            <w:pPr>
              <w:rPr>
                <w:rFonts w:hint="eastAsia" w:ascii="宋体" w:hAnsi="宋体" w:eastAsia="宋体" w:cs="宋体"/>
                <w:b w:val="0"/>
                <w:bCs w:val="0"/>
                <w:color w:val="auto"/>
                <w:sz w:val="21"/>
                <w:szCs w:val="21"/>
                <w:highlight w:val="none"/>
                <w:lang w:val="en-US" w:eastAsia="zh-CN"/>
              </w:rPr>
            </w:pPr>
          </w:p>
          <w:p w14:paraId="6B120859">
            <w:pPr>
              <w:pStyle w:val="6"/>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9</w:t>
            </w:r>
          </w:p>
        </w:tc>
        <w:tc>
          <w:tcPr>
            <w:tcW w:w="7121" w:type="dxa"/>
            <w:noWrap w:val="0"/>
            <w:vAlign w:val="top"/>
          </w:tcPr>
          <w:p w14:paraId="6C9CC3B9">
            <w:pPr>
              <w:spacing w:before="96" w:beforeAutospacing="0" w:afterAutospacing="0" w:line="302" w:lineRule="auto"/>
              <w:ind w:left="115" w:right="105" w:hanging="3"/>
              <w:rPr>
                <w:rFonts w:hint="eastAsia" w:ascii="宋体" w:hAnsi="宋体" w:cs="宋体"/>
                <w:spacing w:val="5"/>
                <w:highlight w:val="none"/>
              </w:rPr>
            </w:pPr>
            <w:r>
              <w:rPr>
                <w:rFonts w:hint="eastAsia" w:ascii="宋体" w:hAnsi="宋体" w:eastAsia="宋体" w:cs="宋体"/>
                <w:color w:val="auto"/>
                <w:spacing w:val="5"/>
                <w:sz w:val="21"/>
                <w:szCs w:val="21"/>
                <w:highlight w:val="none"/>
                <w:lang w:val="en-US" w:eastAsia="zh-CN"/>
              </w:rPr>
              <w:t>针对本项目，根据招标需求及河道情况制定相应的工作流程预案，提出相应的管护保洁标准方案，保证工作的顺利开展；工作流程预案、管护保洁标准方案内容完整、具体、合理、与现场实际情况结合切实可行，优于项目需求的得9分；满足采购人服务管理需求，目标明确可操作性强的得</w:t>
            </w:r>
            <w:r>
              <w:rPr>
                <w:rFonts w:hint="eastAsia" w:ascii="宋体" w:hAnsi="宋体" w:cs="宋体"/>
                <w:color w:val="auto"/>
                <w:spacing w:val="5"/>
                <w:sz w:val="21"/>
                <w:szCs w:val="21"/>
                <w:highlight w:val="none"/>
                <w:lang w:val="en-US" w:eastAsia="zh-CN"/>
              </w:rPr>
              <w:t>7.2</w:t>
            </w:r>
            <w:r>
              <w:rPr>
                <w:rFonts w:hint="eastAsia" w:ascii="宋体" w:hAnsi="宋体" w:eastAsia="宋体" w:cs="宋体"/>
                <w:color w:val="auto"/>
                <w:spacing w:val="5"/>
                <w:sz w:val="21"/>
                <w:szCs w:val="21"/>
                <w:highlight w:val="none"/>
                <w:lang w:val="en-US" w:eastAsia="zh-CN"/>
              </w:rPr>
              <w:t>分；针对性一般、目标内容基本明确的得</w:t>
            </w:r>
            <w:r>
              <w:rPr>
                <w:rFonts w:hint="eastAsia" w:ascii="宋体" w:hAnsi="宋体" w:cs="宋体"/>
                <w:color w:val="auto"/>
                <w:spacing w:val="5"/>
                <w:sz w:val="21"/>
                <w:szCs w:val="21"/>
                <w:highlight w:val="none"/>
                <w:lang w:val="en-US" w:eastAsia="zh-CN"/>
              </w:rPr>
              <w:t>5.</w:t>
            </w:r>
            <w:r>
              <w:rPr>
                <w:rFonts w:hint="eastAsia" w:ascii="宋体" w:hAnsi="宋体" w:eastAsia="宋体" w:cs="宋体"/>
                <w:color w:val="auto"/>
                <w:spacing w:val="5"/>
                <w:sz w:val="21"/>
                <w:szCs w:val="21"/>
                <w:highlight w:val="none"/>
                <w:lang w:val="en-US" w:eastAsia="zh-CN"/>
              </w:rPr>
              <w:t>4分；针对性欠佳，目标内容表述不清的得</w:t>
            </w:r>
            <w:r>
              <w:rPr>
                <w:rFonts w:hint="eastAsia" w:ascii="宋体" w:hAnsi="宋体" w:cs="宋体"/>
                <w:color w:val="auto"/>
                <w:spacing w:val="5"/>
                <w:sz w:val="21"/>
                <w:szCs w:val="21"/>
                <w:highlight w:val="none"/>
                <w:lang w:val="en-US" w:eastAsia="zh-CN"/>
              </w:rPr>
              <w:t>4.5</w:t>
            </w:r>
            <w:r>
              <w:rPr>
                <w:rFonts w:hint="eastAsia" w:ascii="宋体" w:hAnsi="宋体" w:eastAsia="宋体" w:cs="宋体"/>
                <w:color w:val="auto"/>
                <w:spacing w:val="5"/>
                <w:sz w:val="21"/>
                <w:szCs w:val="21"/>
                <w:highlight w:val="none"/>
                <w:lang w:val="en-US" w:eastAsia="zh-CN"/>
              </w:rPr>
              <w:t>分。未提供本项内容的本项不得分。</w:t>
            </w:r>
          </w:p>
        </w:tc>
      </w:tr>
      <w:tr w14:paraId="41B2AD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1310" w:type="dxa"/>
            <w:noWrap w:val="0"/>
            <w:vAlign w:val="top"/>
          </w:tcPr>
          <w:p w14:paraId="52EB7202">
            <w:pPr>
              <w:spacing w:before="65" w:line="227" w:lineRule="auto"/>
              <w:jc w:val="center"/>
              <w:rPr>
                <w:rFonts w:hint="eastAsia" w:ascii="宋体" w:hAnsi="宋体" w:eastAsia="宋体" w:cs="宋体"/>
                <w:color w:val="auto"/>
                <w:spacing w:val="10"/>
                <w:sz w:val="21"/>
                <w:szCs w:val="21"/>
                <w:highlight w:val="none"/>
                <w:lang w:eastAsia="zh-CN"/>
              </w:rPr>
            </w:pPr>
          </w:p>
          <w:p w14:paraId="4DF4B9D3">
            <w:pPr>
              <w:spacing w:before="65" w:line="227" w:lineRule="auto"/>
              <w:jc w:val="center"/>
              <w:rPr>
                <w:rFonts w:hint="eastAsia" w:ascii="宋体" w:hAnsi="宋体" w:eastAsia="宋体" w:cs="宋体"/>
                <w:color w:val="auto"/>
                <w:spacing w:val="10"/>
                <w:sz w:val="21"/>
                <w:szCs w:val="21"/>
                <w:highlight w:val="none"/>
                <w:lang w:eastAsia="zh-CN"/>
              </w:rPr>
            </w:pPr>
          </w:p>
          <w:p w14:paraId="5F4E0E64">
            <w:pPr>
              <w:spacing w:before="65" w:line="227" w:lineRule="auto"/>
              <w:jc w:val="center"/>
              <w:rPr>
                <w:rFonts w:hint="eastAsia" w:ascii="宋体" w:hAnsi="宋体" w:cs="宋体"/>
                <w:spacing w:val="10"/>
                <w:highlight w:val="none"/>
              </w:rPr>
            </w:pPr>
            <w:r>
              <w:rPr>
                <w:rFonts w:hint="eastAsia" w:ascii="宋体" w:hAnsi="宋体" w:eastAsia="宋体" w:cs="宋体"/>
                <w:color w:val="auto"/>
                <w:spacing w:val="10"/>
                <w:sz w:val="21"/>
                <w:szCs w:val="21"/>
                <w:highlight w:val="none"/>
                <w:lang w:eastAsia="zh-CN"/>
              </w:rPr>
              <w:t>日常打捞保障体系及措施</w:t>
            </w:r>
          </w:p>
        </w:tc>
        <w:tc>
          <w:tcPr>
            <w:tcW w:w="833" w:type="dxa"/>
            <w:noWrap w:val="0"/>
            <w:vAlign w:val="top"/>
          </w:tcPr>
          <w:p w14:paraId="5895AE0F">
            <w:pPr>
              <w:pStyle w:val="6"/>
              <w:jc w:val="center"/>
              <w:rPr>
                <w:rFonts w:hint="eastAsia" w:ascii="宋体" w:hAnsi="宋体" w:eastAsia="宋体" w:cs="宋体"/>
                <w:b w:val="0"/>
                <w:bCs w:val="0"/>
                <w:color w:val="auto"/>
                <w:sz w:val="21"/>
                <w:szCs w:val="21"/>
                <w:highlight w:val="none"/>
                <w:lang w:val="en-US" w:eastAsia="zh-CN"/>
              </w:rPr>
            </w:pPr>
          </w:p>
          <w:p w14:paraId="331F8331">
            <w:pPr>
              <w:rPr>
                <w:rFonts w:hint="eastAsia" w:ascii="宋体" w:hAnsi="宋体" w:eastAsia="宋体" w:cs="宋体"/>
                <w:b w:val="0"/>
                <w:bCs w:val="0"/>
                <w:color w:val="auto"/>
                <w:sz w:val="21"/>
                <w:szCs w:val="21"/>
                <w:highlight w:val="none"/>
                <w:lang w:val="en-US" w:eastAsia="zh-CN"/>
              </w:rPr>
            </w:pPr>
          </w:p>
          <w:p w14:paraId="4C8F0867">
            <w:pPr>
              <w:pStyle w:val="6"/>
              <w:jc w:val="center"/>
              <w:rPr>
                <w:rFonts w:hint="eastAsia" w:ascii="宋体" w:hAnsi="宋体" w:eastAsia="宋体" w:cs="宋体"/>
                <w:sz w:val="21"/>
                <w:szCs w:val="21"/>
                <w:highlight w:val="none"/>
                <w:lang w:val="en-US" w:eastAsia="zh-CN"/>
              </w:rPr>
            </w:pPr>
          </w:p>
          <w:p w14:paraId="047854B3">
            <w:pPr>
              <w:pStyle w:val="6"/>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9</w:t>
            </w:r>
          </w:p>
        </w:tc>
        <w:tc>
          <w:tcPr>
            <w:tcW w:w="7121" w:type="dxa"/>
            <w:noWrap w:val="0"/>
            <w:vAlign w:val="top"/>
          </w:tcPr>
          <w:p w14:paraId="54E1D4EE">
            <w:pPr>
              <w:spacing w:before="95" w:beforeAutospacing="0" w:afterAutospacing="0" w:line="302" w:lineRule="auto"/>
              <w:ind w:left="115" w:right="105" w:hanging="3"/>
              <w:rPr>
                <w:rFonts w:hint="eastAsia" w:ascii="宋体" w:hAnsi="宋体" w:cs="宋体"/>
                <w:spacing w:val="5"/>
                <w:highlight w:val="none"/>
              </w:rPr>
            </w:pPr>
            <w:r>
              <w:rPr>
                <w:rFonts w:hint="eastAsia" w:ascii="宋体" w:hAnsi="宋体" w:eastAsia="宋体" w:cs="宋体"/>
                <w:color w:val="auto"/>
                <w:spacing w:val="5"/>
                <w:sz w:val="21"/>
                <w:szCs w:val="21"/>
                <w:highlight w:val="none"/>
                <w:lang w:val="en-US" w:eastAsia="zh-CN"/>
              </w:rPr>
              <w:t>项目配备人员需接受安全培训且配备齐全的防护措施，船只各项防护措施需配备齐全；项目配备人员安全培训方案全面、防护措施齐全、船只各项防护措施齐全，优于项目需求的得9分；满足采购人服务管理需求，目标明确可操作性强的得</w:t>
            </w:r>
            <w:r>
              <w:rPr>
                <w:rFonts w:hint="eastAsia" w:ascii="宋体" w:hAnsi="宋体" w:cs="宋体"/>
                <w:color w:val="auto"/>
                <w:spacing w:val="5"/>
                <w:sz w:val="21"/>
                <w:szCs w:val="21"/>
                <w:highlight w:val="none"/>
                <w:lang w:val="en-US" w:eastAsia="zh-CN"/>
              </w:rPr>
              <w:t>7.2</w:t>
            </w:r>
            <w:r>
              <w:rPr>
                <w:rFonts w:hint="eastAsia" w:ascii="宋体" w:hAnsi="宋体" w:eastAsia="宋体" w:cs="宋体"/>
                <w:color w:val="auto"/>
                <w:spacing w:val="5"/>
                <w:sz w:val="21"/>
                <w:szCs w:val="21"/>
                <w:highlight w:val="none"/>
                <w:lang w:val="en-US" w:eastAsia="zh-CN"/>
              </w:rPr>
              <w:t>分；针对性一般、目标内容基本明确的得</w:t>
            </w:r>
            <w:r>
              <w:rPr>
                <w:rFonts w:hint="eastAsia" w:ascii="宋体" w:hAnsi="宋体" w:cs="宋体"/>
                <w:color w:val="auto"/>
                <w:spacing w:val="5"/>
                <w:sz w:val="21"/>
                <w:szCs w:val="21"/>
                <w:highlight w:val="none"/>
                <w:lang w:val="en-US" w:eastAsia="zh-CN"/>
              </w:rPr>
              <w:t>5.</w:t>
            </w:r>
            <w:r>
              <w:rPr>
                <w:rFonts w:hint="eastAsia" w:ascii="宋体" w:hAnsi="宋体" w:eastAsia="宋体" w:cs="宋体"/>
                <w:color w:val="auto"/>
                <w:spacing w:val="5"/>
                <w:sz w:val="21"/>
                <w:szCs w:val="21"/>
                <w:highlight w:val="none"/>
                <w:lang w:val="en-US" w:eastAsia="zh-CN"/>
              </w:rPr>
              <w:t>4分；针对性欠佳，目标内容表述不清的得</w:t>
            </w:r>
            <w:r>
              <w:rPr>
                <w:rFonts w:hint="eastAsia" w:ascii="宋体" w:hAnsi="宋体" w:cs="宋体"/>
                <w:color w:val="auto"/>
                <w:spacing w:val="5"/>
                <w:sz w:val="21"/>
                <w:szCs w:val="21"/>
                <w:highlight w:val="none"/>
                <w:lang w:val="en-US" w:eastAsia="zh-CN"/>
              </w:rPr>
              <w:t>4.5</w:t>
            </w:r>
            <w:r>
              <w:rPr>
                <w:rFonts w:hint="eastAsia" w:ascii="宋体" w:hAnsi="宋体" w:eastAsia="宋体" w:cs="宋体"/>
                <w:color w:val="auto"/>
                <w:spacing w:val="5"/>
                <w:sz w:val="21"/>
                <w:szCs w:val="21"/>
                <w:highlight w:val="none"/>
                <w:lang w:val="en-US" w:eastAsia="zh-CN"/>
              </w:rPr>
              <w:t>分。未提供本项内容的本项不得分。</w:t>
            </w:r>
          </w:p>
        </w:tc>
      </w:tr>
      <w:tr w14:paraId="7C4814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84" w:hRule="atLeast"/>
        </w:trPr>
        <w:tc>
          <w:tcPr>
            <w:tcW w:w="1310" w:type="dxa"/>
            <w:noWrap w:val="0"/>
            <w:vAlign w:val="top"/>
          </w:tcPr>
          <w:p w14:paraId="47A2C7D2">
            <w:pPr>
              <w:spacing w:before="65" w:line="227" w:lineRule="auto"/>
              <w:jc w:val="center"/>
              <w:rPr>
                <w:rFonts w:hint="eastAsia" w:ascii="宋体" w:hAnsi="宋体" w:eastAsia="宋体" w:cs="宋体"/>
                <w:color w:val="auto"/>
                <w:spacing w:val="10"/>
                <w:sz w:val="21"/>
                <w:szCs w:val="21"/>
                <w:highlight w:val="none"/>
                <w:lang w:eastAsia="zh-CN"/>
              </w:rPr>
            </w:pPr>
          </w:p>
          <w:p w14:paraId="33B66C8A">
            <w:pPr>
              <w:spacing w:before="65" w:line="227" w:lineRule="auto"/>
              <w:jc w:val="center"/>
              <w:rPr>
                <w:rFonts w:hint="eastAsia" w:ascii="宋体" w:hAnsi="宋体" w:eastAsia="宋体" w:cs="宋体"/>
                <w:color w:val="auto"/>
                <w:spacing w:val="10"/>
                <w:sz w:val="21"/>
                <w:szCs w:val="21"/>
                <w:highlight w:val="none"/>
                <w:lang w:eastAsia="zh-CN"/>
              </w:rPr>
            </w:pPr>
          </w:p>
          <w:p w14:paraId="5592514C">
            <w:pPr>
              <w:spacing w:before="65" w:line="227" w:lineRule="auto"/>
              <w:jc w:val="center"/>
              <w:rPr>
                <w:rFonts w:hint="eastAsia" w:ascii="宋体" w:hAnsi="宋体" w:cs="宋体"/>
                <w:spacing w:val="10"/>
                <w:highlight w:val="none"/>
              </w:rPr>
            </w:pPr>
            <w:r>
              <w:rPr>
                <w:rFonts w:hint="eastAsia" w:ascii="宋体" w:hAnsi="宋体" w:eastAsia="宋体" w:cs="宋体"/>
                <w:color w:val="auto"/>
                <w:spacing w:val="10"/>
                <w:sz w:val="21"/>
                <w:szCs w:val="21"/>
                <w:highlight w:val="none"/>
                <w:lang w:eastAsia="zh-CN"/>
              </w:rPr>
              <w:t>质量保证体系及措施</w:t>
            </w:r>
          </w:p>
        </w:tc>
        <w:tc>
          <w:tcPr>
            <w:tcW w:w="833" w:type="dxa"/>
            <w:noWrap w:val="0"/>
            <w:vAlign w:val="top"/>
          </w:tcPr>
          <w:p w14:paraId="5114A6D6">
            <w:pPr>
              <w:pStyle w:val="6"/>
              <w:ind w:firstLine="194"/>
              <w:rPr>
                <w:rFonts w:hint="eastAsia" w:ascii="宋体" w:hAnsi="宋体" w:eastAsia="宋体" w:cs="宋体"/>
                <w:b w:val="0"/>
                <w:bCs w:val="0"/>
                <w:color w:val="auto"/>
                <w:spacing w:val="-8"/>
                <w:sz w:val="21"/>
                <w:szCs w:val="21"/>
                <w:highlight w:val="none"/>
                <w:lang w:val="en-US" w:eastAsia="zh-CN"/>
              </w:rPr>
            </w:pPr>
          </w:p>
          <w:p w14:paraId="23B98FA0">
            <w:pPr>
              <w:pStyle w:val="6"/>
              <w:ind w:firstLine="194"/>
              <w:rPr>
                <w:rFonts w:hint="eastAsia" w:ascii="宋体" w:hAnsi="宋体" w:eastAsia="宋体" w:cs="宋体"/>
                <w:b w:val="0"/>
                <w:bCs w:val="0"/>
                <w:color w:val="auto"/>
                <w:spacing w:val="-8"/>
                <w:sz w:val="21"/>
                <w:szCs w:val="21"/>
                <w:highlight w:val="none"/>
                <w:lang w:val="en-US" w:eastAsia="zh-CN"/>
              </w:rPr>
            </w:pPr>
          </w:p>
          <w:p w14:paraId="593D75DE">
            <w:pPr>
              <w:pStyle w:val="6"/>
              <w:jc w:val="center"/>
              <w:rPr>
                <w:rFonts w:hint="eastAsia" w:ascii="宋体" w:hAnsi="宋体" w:eastAsia="宋体" w:cs="宋体"/>
                <w:sz w:val="21"/>
                <w:szCs w:val="21"/>
                <w:highlight w:val="none"/>
                <w:lang w:val="en-US" w:eastAsia="zh-CN"/>
              </w:rPr>
            </w:pPr>
          </w:p>
          <w:p w14:paraId="23CD14A4">
            <w:pPr>
              <w:pStyle w:val="6"/>
              <w:jc w:val="center"/>
              <w:rPr>
                <w:rFonts w:hint="default" w:ascii="宋体" w:hAnsi="宋体" w:eastAsia="宋体" w:cs="宋体"/>
                <w:spacing w:val="-8"/>
                <w:sz w:val="21"/>
                <w:szCs w:val="21"/>
                <w:highlight w:val="none"/>
                <w:lang w:val="en-US" w:eastAsia="zh-CN"/>
              </w:rPr>
            </w:pPr>
            <w:r>
              <w:rPr>
                <w:rFonts w:hint="eastAsia" w:ascii="宋体" w:hAnsi="宋体" w:eastAsia="宋体" w:cs="宋体"/>
                <w:sz w:val="21"/>
                <w:szCs w:val="21"/>
                <w:highlight w:val="none"/>
                <w:lang w:val="en-US" w:eastAsia="zh-CN"/>
              </w:rPr>
              <w:t>8</w:t>
            </w:r>
          </w:p>
        </w:tc>
        <w:tc>
          <w:tcPr>
            <w:tcW w:w="7121" w:type="dxa"/>
            <w:noWrap w:val="0"/>
            <w:vAlign w:val="top"/>
          </w:tcPr>
          <w:p w14:paraId="49983AEF">
            <w:pPr>
              <w:spacing w:before="61" w:beforeAutospacing="0" w:afterAutospacing="0" w:line="302" w:lineRule="auto"/>
              <w:ind w:left="115" w:right="105" w:hanging="3"/>
              <w:rPr>
                <w:rFonts w:hint="eastAsia" w:ascii="宋体" w:hAnsi="宋体" w:cs="宋体"/>
                <w:spacing w:val="5"/>
                <w:highlight w:val="none"/>
              </w:rPr>
            </w:pPr>
            <w:r>
              <w:rPr>
                <w:rFonts w:hint="eastAsia" w:ascii="宋体" w:hAnsi="宋体" w:eastAsia="宋体" w:cs="宋体"/>
                <w:color w:val="auto"/>
                <w:spacing w:val="-3"/>
                <w:sz w:val="21"/>
                <w:szCs w:val="21"/>
                <w:highlight w:val="none"/>
                <w:lang w:val="en-US" w:eastAsia="zh-CN"/>
              </w:rPr>
              <w:t>根据本项目的特点，充分采用组织、经济、合同、技术、实时监控</w:t>
            </w:r>
            <w:r>
              <w:rPr>
                <w:rFonts w:hint="eastAsia" w:ascii="宋体" w:hAnsi="宋体" w:cs="宋体"/>
                <w:color w:val="auto"/>
                <w:spacing w:val="-3"/>
                <w:sz w:val="21"/>
                <w:szCs w:val="21"/>
                <w:highlight w:val="none"/>
                <w:lang w:val="en-US" w:eastAsia="zh-CN"/>
              </w:rPr>
              <w:t>（打捞保洁船需配备监控设备）</w:t>
            </w:r>
            <w:r>
              <w:rPr>
                <w:rFonts w:hint="eastAsia" w:ascii="宋体" w:hAnsi="宋体" w:eastAsia="宋体" w:cs="宋体"/>
                <w:color w:val="auto"/>
                <w:spacing w:val="-3"/>
                <w:sz w:val="21"/>
                <w:szCs w:val="21"/>
                <w:highlight w:val="none"/>
                <w:lang w:val="en-US" w:eastAsia="zh-CN"/>
              </w:rPr>
              <w:t>、协调管理、等措施预案；措施预案内容完整、具体、合理、与王港河现场实际情况结合切实可行。优于项目需求的得8分；满足采购人服务管理需求，目标明确可操作性强的得6</w:t>
            </w:r>
            <w:r>
              <w:rPr>
                <w:rFonts w:hint="eastAsia" w:ascii="宋体" w:hAnsi="宋体" w:cs="宋体"/>
                <w:color w:val="auto"/>
                <w:spacing w:val="-3"/>
                <w:sz w:val="21"/>
                <w:szCs w:val="21"/>
                <w:highlight w:val="none"/>
                <w:lang w:val="en-US" w:eastAsia="zh-CN"/>
              </w:rPr>
              <w:t>.4</w:t>
            </w:r>
            <w:r>
              <w:rPr>
                <w:rFonts w:hint="eastAsia" w:ascii="宋体" w:hAnsi="宋体" w:eastAsia="宋体" w:cs="宋体"/>
                <w:color w:val="auto"/>
                <w:spacing w:val="-3"/>
                <w:sz w:val="21"/>
                <w:szCs w:val="21"/>
                <w:highlight w:val="none"/>
                <w:lang w:val="en-US" w:eastAsia="zh-CN"/>
              </w:rPr>
              <w:t>分；针对性一般、目标内容基本明确的得4</w:t>
            </w:r>
            <w:r>
              <w:rPr>
                <w:rFonts w:hint="eastAsia" w:ascii="宋体" w:hAnsi="宋体" w:cs="宋体"/>
                <w:color w:val="auto"/>
                <w:spacing w:val="-3"/>
                <w:sz w:val="21"/>
                <w:szCs w:val="21"/>
                <w:highlight w:val="none"/>
                <w:lang w:val="en-US" w:eastAsia="zh-CN"/>
              </w:rPr>
              <w:t>.8</w:t>
            </w:r>
            <w:r>
              <w:rPr>
                <w:rFonts w:hint="eastAsia" w:ascii="宋体" w:hAnsi="宋体" w:eastAsia="宋体" w:cs="宋体"/>
                <w:color w:val="auto"/>
                <w:spacing w:val="-3"/>
                <w:sz w:val="21"/>
                <w:szCs w:val="21"/>
                <w:highlight w:val="none"/>
                <w:lang w:val="en-US" w:eastAsia="zh-CN"/>
              </w:rPr>
              <w:t>分；针对性欠佳，目标内容表述不清的得</w:t>
            </w:r>
            <w:r>
              <w:rPr>
                <w:rFonts w:hint="eastAsia" w:ascii="宋体" w:hAnsi="宋体" w:cs="宋体"/>
                <w:color w:val="auto"/>
                <w:spacing w:val="-3"/>
                <w:sz w:val="21"/>
                <w:szCs w:val="21"/>
                <w:highlight w:val="none"/>
                <w:lang w:val="en-US" w:eastAsia="zh-CN"/>
              </w:rPr>
              <w:t>4</w:t>
            </w:r>
            <w:r>
              <w:rPr>
                <w:rFonts w:hint="eastAsia" w:ascii="宋体" w:hAnsi="宋体" w:eastAsia="宋体" w:cs="宋体"/>
                <w:color w:val="auto"/>
                <w:spacing w:val="-3"/>
                <w:sz w:val="21"/>
                <w:szCs w:val="21"/>
                <w:highlight w:val="none"/>
                <w:lang w:val="en-US" w:eastAsia="zh-CN"/>
              </w:rPr>
              <w:t>分。未提供本项内容的本项不得分。</w:t>
            </w:r>
          </w:p>
        </w:tc>
      </w:tr>
      <w:tr w14:paraId="7C50B5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310" w:type="dxa"/>
            <w:noWrap w:val="0"/>
            <w:vAlign w:val="top"/>
          </w:tcPr>
          <w:p w14:paraId="6B36555A">
            <w:pPr>
              <w:spacing w:line="314" w:lineRule="auto"/>
              <w:rPr>
                <w:rFonts w:hint="eastAsia" w:ascii="宋体" w:hAnsi="宋体" w:eastAsia="宋体" w:cs="宋体"/>
                <w:color w:val="auto"/>
                <w:sz w:val="21"/>
                <w:szCs w:val="21"/>
                <w:highlight w:val="none"/>
              </w:rPr>
            </w:pPr>
          </w:p>
          <w:p w14:paraId="522B62FE">
            <w:pPr>
              <w:spacing w:line="314" w:lineRule="auto"/>
              <w:rPr>
                <w:rFonts w:hint="eastAsia" w:ascii="宋体" w:hAnsi="宋体" w:eastAsia="宋体" w:cs="宋体"/>
                <w:color w:val="auto"/>
                <w:sz w:val="21"/>
                <w:szCs w:val="21"/>
                <w:highlight w:val="none"/>
              </w:rPr>
            </w:pPr>
          </w:p>
          <w:p w14:paraId="5C3D784E">
            <w:pPr>
              <w:spacing w:line="315" w:lineRule="auto"/>
              <w:rPr>
                <w:rFonts w:hint="eastAsia" w:ascii="宋体" w:hAnsi="宋体" w:eastAsia="宋体" w:cs="宋体"/>
                <w:color w:val="auto"/>
                <w:sz w:val="21"/>
                <w:szCs w:val="21"/>
                <w:highlight w:val="none"/>
              </w:rPr>
            </w:pPr>
          </w:p>
          <w:p w14:paraId="2A124AB0">
            <w:pPr>
              <w:spacing w:before="65" w:line="228" w:lineRule="auto"/>
              <w:ind w:firstLine="230" w:firstLineChars="100"/>
              <w:rPr>
                <w:rFonts w:hint="eastAsia" w:ascii="宋体" w:hAnsi="宋体" w:cs="宋体"/>
                <w:highlight w:val="none"/>
              </w:rPr>
            </w:pPr>
            <w:r>
              <w:rPr>
                <w:rFonts w:hint="eastAsia" w:ascii="宋体" w:hAnsi="宋体" w:eastAsia="宋体" w:cs="宋体"/>
                <w:color w:val="auto"/>
                <w:spacing w:val="10"/>
                <w:sz w:val="21"/>
                <w:szCs w:val="21"/>
                <w:highlight w:val="none"/>
              </w:rPr>
              <w:t>应</w:t>
            </w:r>
            <w:r>
              <w:rPr>
                <w:rFonts w:hint="eastAsia" w:ascii="宋体" w:hAnsi="宋体" w:eastAsia="宋体" w:cs="宋体"/>
                <w:color w:val="auto"/>
                <w:spacing w:val="8"/>
                <w:sz w:val="21"/>
                <w:szCs w:val="21"/>
                <w:highlight w:val="none"/>
              </w:rPr>
              <w:t>急方案</w:t>
            </w:r>
          </w:p>
        </w:tc>
        <w:tc>
          <w:tcPr>
            <w:tcW w:w="833" w:type="dxa"/>
            <w:noWrap w:val="0"/>
            <w:vAlign w:val="top"/>
          </w:tcPr>
          <w:p w14:paraId="6497F24C">
            <w:pPr>
              <w:spacing w:line="244" w:lineRule="auto"/>
              <w:rPr>
                <w:rFonts w:hint="eastAsia" w:ascii="宋体" w:hAnsi="宋体" w:eastAsia="宋体" w:cs="宋体"/>
                <w:b w:val="0"/>
                <w:bCs w:val="0"/>
                <w:color w:val="auto"/>
                <w:sz w:val="21"/>
                <w:szCs w:val="21"/>
                <w:highlight w:val="none"/>
              </w:rPr>
            </w:pPr>
          </w:p>
          <w:p w14:paraId="74827087">
            <w:pPr>
              <w:spacing w:line="244" w:lineRule="auto"/>
              <w:rPr>
                <w:rFonts w:hint="eastAsia" w:ascii="宋体" w:hAnsi="宋体" w:eastAsia="宋体" w:cs="宋体"/>
                <w:b w:val="0"/>
                <w:bCs w:val="0"/>
                <w:color w:val="auto"/>
                <w:sz w:val="21"/>
                <w:szCs w:val="21"/>
                <w:highlight w:val="none"/>
              </w:rPr>
            </w:pPr>
          </w:p>
          <w:p w14:paraId="79E2F2BC">
            <w:pPr>
              <w:spacing w:line="244" w:lineRule="auto"/>
              <w:rPr>
                <w:rFonts w:hint="eastAsia" w:ascii="宋体" w:hAnsi="宋体" w:eastAsia="宋体" w:cs="宋体"/>
                <w:b w:val="0"/>
                <w:bCs w:val="0"/>
                <w:color w:val="auto"/>
                <w:sz w:val="21"/>
                <w:szCs w:val="21"/>
                <w:highlight w:val="none"/>
              </w:rPr>
            </w:pPr>
          </w:p>
          <w:p w14:paraId="6CE81194">
            <w:pPr>
              <w:spacing w:line="244" w:lineRule="auto"/>
              <w:rPr>
                <w:rFonts w:hint="eastAsia" w:ascii="宋体" w:hAnsi="宋体" w:eastAsia="宋体" w:cs="宋体"/>
                <w:b w:val="0"/>
                <w:bCs w:val="0"/>
                <w:color w:val="auto"/>
                <w:sz w:val="21"/>
                <w:szCs w:val="21"/>
                <w:highlight w:val="none"/>
              </w:rPr>
            </w:pPr>
          </w:p>
          <w:p w14:paraId="185B9BBF">
            <w:pPr>
              <w:spacing w:before="65" w:line="190" w:lineRule="auto"/>
              <w:ind w:left="276"/>
              <w:rPr>
                <w:rFonts w:hint="default" w:ascii="宋体" w:hAnsi="宋体" w:eastAsia="宋体" w:cs="宋体"/>
                <w:highlight w:val="none"/>
                <w:lang w:val="en-US" w:eastAsia="zh-CN"/>
              </w:rPr>
            </w:pPr>
            <w:r>
              <w:rPr>
                <w:rFonts w:hint="eastAsia" w:ascii="宋体" w:hAnsi="宋体" w:cs="宋体"/>
                <w:highlight w:val="none"/>
                <w:lang w:val="en-US" w:eastAsia="zh-CN"/>
              </w:rPr>
              <w:t>9</w:t>
            </w:r>
          </w:p>
        </w:tc>
        <w:tc>
          <w:tcPr>
            <w:tcW w:w="7121" w:type="dxa"/>
            <w:noWrap w:val="0"/>
            <w:vAlign w:val="top"/>
          </w:tcPr>
          <w:p w14:paraId="5D6B181D">
            <w:pPr>
              <w:spacing w:before="61" w:beforeAutospacing="0" w:afterAutospacing="0" w:line="302" w:lineRule="auto"/>
              <w:ind w:left="115" w:right="105" w:hanging="3"/>
              <w:rPr>
                <w:rFonts w:hint="eastAsia" w:ascii="宋体" w:hAnsi="宋体" w:cs="宋体"/>
                <w:spacing w:val="5"/>
                <w:highlight w:val="none"/>
              </w:rPr>
            </w:pPr>
            <w:r>
              <w:rPr>
                <w:rFonts w:hint="eastAsia" w:ascii="宋体" w:hAnsi="宋体" w:eastAsia="宋体" w:cs="宋体"/>
                <w:color w:val="auto"/>
                <w:spacing w:val="5"/>
                <w:sz w:val="21"/>
                <w:szCs w:val="21"/>
                <w:highlight w:val="none"/>
                <w:lang w:val="en-US" w:eastAsia="zh-CN"/>
              </w:rPr>
              <w:t>针对突发性事件(如自然灾害、突发疫情、临时任务等) ，应急人员配备、应急设备、应急响应时间、处理预案等情况的应对能力，切实可行并能按期完成保洁任务，优于项目需求的得9分；满足采购人服务管理需求，目标明确可操作性强的得</w:t>
            </w:r>
            <w:r>
              <w:rPr>
                <w:rFonts w:hint="eastAsia" w:ascii="宋体" w:hAnsi="宋体" w:cs="宋体"/>
                <w:color w:val="auto"/>
                <w:spacing w:val="5"/>
                <w:sz w:val="21"/>
                <w:szCs w:val="21"/>
                <w:highlight w:val="none"/>
                <w:lang w:val="en-US" w:eastAsia="zh-CN"/>
              </w:rPr>
              <w:t>7.2</w:t>
            </w:r>
            <w:r>
              <w:rPr>
                <w:rFonts w:hint="eastAsia" w:ascii="宋体" w:hAnsi="宋体" w:eastAsia="宋体" w:cs="宋体"/>
                <w:color w:val="auto"/>
                <w:spacing w:val="5"/>
                <w:sz w:val="21"/>
                <w:szCs w:val="21"/>
                <w:highlight w:val="none"/>
                <w:lang w:val="en-US" w:eastAsia="zh-CN"/>
              </w:rPr>
              <w:t>分；针对性一般、目标内容基本明确的得</w:t>
            </w:r>
            <w:r>
              <w:rPr>
                <w:rFonts w:hint="eastAsia" w:ascii="宋体" w:hAnsi="宋体" w:cs="宋体"/>
                <w:color w:val="auto"/>
                <w:spacing w:val="5"/>
                <w:sz w:val="21"/>
                <w:szCs w:val="21"/>
                <w:highlight w:val="none"/>
                <w:lang w:val="en-US" w:eastAsia="zh-CN"/>
              </w:rPr>
              <w:t>5.</w:t>
            </w:r>
            <w:r>
              <w:rPr>
                <w:rFonts w:hint="eastAsia" w:ascii="宋体" w:hAnsi="宋体" w:eastAsia="宋体" w:cs="宋体"/>
                <w:color w:val="auto"/>
                <w:spacing w:val="5"/>
                <w:sz w:val="21"/>
                <w:szCs w:val="21"/>
                <w:highlight w:val="none"/>
                <w:lang w:val="en-US" w:eastAsia="zh-CN"/>
              </w:rPr>
              <w:t>4分；针对性欠佳，目标内容表述不清的得</w:t>
            </w:r>
            <w:r>
              <w:rPr>
                <w:rFonts w:hint="eastAsia" w:ascii="宋体" w:hAnsi="宋体" w:cs="宋体"/>
                <w:color w:val="auto"/>
                <w:spacing w:val="5"/>
                <w:sz w:val="21"/>
                <w:szCs w:val="21"/>
                <w:highlight w:val="none"/>
                <w:lang w:val="en-US" w:eastAsia="zh-CN"/>
              </w:rPr>
              <w:t>4.5</w:t>
            </w:r>
            <w:r>
              <w:rPr>
                <w:rFonts w:hint="eastAsia" w:ascii="宋体" w:hAnsi="宋体" w:eastAsia="宋体" w:cs="宋体"/>
                <w:color w:val="auto"/>
                <w:spacing w:val="5"/>
                <w:sz w:val="21"/>
                <w:szCs w:val="21"/>
                <w:highlight w:val="none"/>
                <w:lang w:val="en-US" w:eastAsia="zh-CN"/>
              </w:rPr>
              <w:t>分。未提供本项内容的本项不得分。</w:t>
            </w:r>
          </w:p>
        </w:tc>
      </w:tr>
      <w:tr w14:paraId="5E334E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2" w:hRule="atLeast"/>
        </w:trPr>
        <w:tc>
          <w:tcPr>
            <w:tcW w:w="9264" w:type="dxa"/>
            <w:gridSpan w:val="3"/>
            <w:noWrap w:val="0"/>
            <w:vAlign w:val="top"/>
          </w:tcPr>
          <w:p w14:paraId="4605BEE6">
            <w:pPr>
              <w:spacing w:before="36" w:line="225" w:lineRule="auto"/>
              <w:ind w:left="117"/>
              <w:rPr>
                <w:rFonts w:hint="eastAsia" w:ascii="宋体" w:hAnsi="宋体" w:cs="宋体"/>
                <w:highlight w:val="none"/>
              </w:rPr>
            </w:pPr>
            <w:r>
              <w:rPr>
                <w:rFonts w:hint="eastAsia" w:ascii="宋体" w:hAnsi="宋体" w:cs="宋体"/>
                <w:spacing w:val="6"/>
                <w:highlight w:val="none"/>
              </w:rPr>
              <w:t>其</w:t>
            </w:r>
            <w:r>
              <w:rPr>
                <w:rFonts w:hint="eastAsia" w:ascii="宋体" w:hAnsi="宋体" w:cs="宋体"/>
                <w:spacing w:val="4"/>
                <w:highlight w:val="none"/>
              </w:rPr>
              <w:t>他 (1)</w:t>
            </w:r>
          </w:p>
        </w:tc>
      </w:tr>
      <w:tr w14:paraId="281A27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3" w:hRule="atLeast"/>
        </w:trPr>
        <w:tc>
          <w:tcPr>
            <w:tcW w:w="1310" w:type="dxa"/>
            <w:noWrap w:val="0"/>
            <w:vAlign w:val="top"/>
          </w:tcPr>
          <w:p w14:paraId="5A73460D">
            <w:pPr>
              <w:spacing w:before="197" w:line="227" w:lineRule="auto"/>
              <w:jc w:val="center"/>
              <w:rPr>
                <w:rFonts w:hint="eastAsia" w:ascii="宋体" w:hAnsi="宋体" w:cs="宋体"/>
                <w:highlight w:val="none"/>
              </w:rPr>
            </w:pPr>
            <w:r>
              <w:rPr>
                <w:rFonts w:hint="eastAsia" w:ascii="宋体" w:hAnsi="宋体" w:cs="宋体"/>
                <w:spacing w:val="9"/>
                <w:highlight w:val="none"/>
              </w:rPr>
              <w:t>承</w:t>
            </w:r>
            <w:r>
              <w:rPr>
                <w:rFonts w:hint="eastAsia" w:ascii="宋体" w:hAnsi="宋体" w:cs="宋体"/>
                <w:spacing w:val="7"/>
                <w:highlight w:val="none"/>
              </w:rPr>
              <w:t>诺书</w:t>
            </w:r>
          </w:p>
        </w:tc>
        <w:tc>
          <w:tcPr>
            <w:tcW w:w="833" w:type="dxa"/>
            <w:noWrap w:val="0"/>
            <w:vAlign w:val="top"/>
          </w:tcPr>
          <w:p w14:paraId="7031D1C3">
            <w:pPr>
              <w:spacing w:before="229" w:line="193" w:lineRule="auto"/>
              <w:ind w:left="291"/>
              <w:rPr>
                <w:rFonts w:hint="eastAsia" w:ascii="宋体" w:hAnsi="宋体" w:cs="宋体"/>
                <w:highlight w:val="none"/>
              </w:rPr>
            </w:pPr>
            <w:r>
              <w:rPr>
                <w:rFonts w:hint="eastAsia" w:ascii="宋体" w:hAnsi="宋体" w:cs="宋体"/>
                <w:highlight w:val="none"/>
              </w:rPr>
              <w:t>1</w:t>
            </w:r>
          </w:p>
        </w:tc>
        <w:tc>
          <w:tcPr>
            <w:tcW w:w="7121" w:type="dxa"/>
            <w:noWrap w:val="0"/>
            <w:vAlign w:val="top"/>
          </w:tcPr>
          <w:p w14:paraId="6530D702">
            <w:pPr>
              <w:spacing w:before="35" w:line="264" w:lineRule="auto"/>
              <w:ind w:left="113" w:right="106" w:firstLine="1"/>
              <w:rPr>
                <w:rFonts w:hint="eastAsia" w:ascii="宋体" w:hAnsi="宋体" w:cs="宋体"/>
                <w:highlight w:val="none"/>
              </w:rPr>
            </w:pPr>
            <w:r>
              <w:rPr>
                <w:rFonts w:hint="eastAsia" w:ascii="宋体" w:hAnsi="宋体" w:cs="宋体"/>
                <w:spacing w:val="10"/>
                <w:highlight w:val="none"/>
              </w:rPr>
              <w:t>投标文</w:t>
            </w:r>
            <w:r>
              <w:rPr>
                <w:rFonts w:hint="eastAsia" w:ascii="宋体" w:hAnsi="宋体" w:cs="宋体"/>
                <w:spacing w:val="9"/>
                <w:highlight w:val="none"/>
              </w:rPr>
              <w:t>件</w:t>
            </w:r>
            <w:r>
              <w:rPr>
                <w:rFonts w:hint="eastAsia" w:ascii="宋体" w:hAnsi="宋体" w:cs="宋体"/>
                <w:spacing w:val="5"/>
                <w:highlight w:val="none"/>
              </w:rPr>
              <w:t>中提供</w:t>
            </w:r>
            <w:r>
              <w:rPr>
                <w:rFonts w:hint="eastAsia" w:ascii="宋体" w:hAnsi="宋体" w:cs="宋体"/>
                <w:spacing w:val="5"/>
                <w:highlight w:val="none"/>
                <w:lang w:eastAsia="zh-CN"/>
              </w:rPr>
              <w:t>《</w:t>
            </w:r>
            <w:r>
              <w:rPr>
                <w:rFonts w:hint="eastAsia" w:ascii="宋体" w:hAnsi="宋体" w:cs="宋体"/>
                <w:spacing w:val="5"/>
                <w:highlight w:val="none"/>
              </w:rPr>
              <w:t>盐城市大丰区政府招标采购供应商承诺书》的得 1 分，未</w:t>
            </w:r>
            <w:r>
              <w:rPr>
                <w:rFonts w:hint="eastAsia" w:ascii="宋体" w:hAnsi="宋体" w:cs="宋体"/>
                <w:spacing w:val="7"/>
                <w:highlight w:val="none"/>
              </w:rPr>
              <w:t>提供的不得分</w:t>
            </w:r>
            <w:r>
              <w:rPr>
                <w:rFonts w:hint="eastAsia" w:ascii="宋体" w:hAnsi="宋体" w:cs="宋体"/>
                <w:spacing w:val="6"/>
                <w:highlight w:val="none"/>
              </w:rPr>
              <w:t>。</w:t>
            </w:r>
          </w:p>
        </w:tc>
      </w:tr>
    </w:tbl>
    <w:p w14:paraId="2B634D72">
      <w:pPr>
        <w:rPr>
          <w:rFonts w:hint="eastAsia" w:eastAsia="宋体"/>
          <w:color w:val="auto"/>
          <w:sz w:val="24"/>
          <w:szCs w:val="24"/>
          <w:lang w:val="en-US" w:eastAsia="zh-CN"/>
        </w:rPr>
      </w:pPr>
      <w:r>
        <w:rPr>
          <w:rFonts w:hint="eastAsia"/>
          <w:color w:val="auto"/>
          <w:sz w:val="24"/>
          <w:szCs w:val="24"/>
          <w:highlight w:val="none"/>
          <w:lang w:val="en-US" w:eastAsia="zh-CN"/>
        </w:rPr>
        <w:t xml:space="preserve"> </w:t>
      </w:r>
    </w:p>
    <w:p w14:paraId="61DA7DFE">
      <w:pPr>
        <w:spacing w:line="420" w:lineRule="exact"/>
        <w:ind w:firstLine="442"/>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异常低价审查</w:t>
      </w:r>
    </w:p>
    <w:p w14:paraId="0971E87E">
      <w:pPr>
        <w:spacing w:line="420" w:lineRule="exact"/>
        <w:ind w:firstLine="442"/>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（一）评审过程中出现下列情形之一的，评审委员会应当启动异常低价投标（响应）审查程序：</w:t>
      </w:r>
    </w:p>
    <w:p w14:paraId="638FB91D">
      <w:pPr>
        <w:spacing w:line="420" w:lineRule="exact"/>
        <w:ind w:firstLine="442"/>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1.投标（响应）报价低于采购项目预算50%的，即投标（响应）报价〈采购项目预算X50%；</w:t>
      </w:r>
    </w:p>
    <w:p w14:paraId="16F6E6C5">
      <w:pPr>
        <w:spacing w:line="420" w:lineRule="exact"/>
        <w:ind w:firstLine="442"/>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2.投标（响应）报价低于采购项目最高限价45%的，即投标（响应）报价〈采购项目最高限价X45%；</w:t>
      </w:r>
    </w:p>
    <w:p w14:paraId="480BFA2E">
      <w:pPr>
        <w:spacing w:line="420" w:lineRule="exact"/>
        <w:ind w:left="210" w:leftChars="100" w:firstLine="232" w:firstLineChars="110"/>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3.评审委员会认定的供应商报价过低、有可能影响产品质量或者不能诚信履约的其他情形。（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473DB607">
      <w:pPr>
        <w:spacing w:line="420" w:lineRule="exact"/>
        <w:ind w:firstLine="442"/>
        <w:rPr>
          <w:rFonts w:ascii="宋体" w:hAnsi="宋体" w:cs="宋体"/>
          <w:color w:val="auto"/>
          <w:sz w:val="21"/>
          <w:szCs w:val="21"/>
          <w:highlight w:val="none"/>
        </w:rPr>
      </w:pPr>
      <w:r>
        <w:rPr>
          <w:rFonts w:hint="eastAsia" w:ascii="宋体" w:hAnsi="宋体" w:cs="宋体"/>
          <w:b/>
          <w:bCs/>
          <w:color w:val="auto"/>
          <w:sz w:val="21"/>
          <w:szCs w:val="21"/>
          <w:highlight w:val="none"/>
        </w:rPr>
        <w:t>三.评标程序</w:t>
      </w:r>
    </w:p>
    <w:p w14:paraId="249EB718">
      <w:pPr>
        <w:spacing w:line="400" w:lineRule="exact"/>
        <w:ind w:firstLine="480"/>
        <w:rPr>
          <w:rFonts w:ascii="宋体" w:hAnsi="宋体" w:cs="宋体"/>
          <w:color w:val="auto"/>
          <w:sz w:val="21"/>
          <w:szCs w:val="21"/>
          <w:highlight w:val="none"/>
        </w:rPr>
      </w:pPr>
      <w:r>
        <w:rPr>
          <w:rFonts w:hint="eastAsia" w:ascii="宋体" w:hAnsi="宋体" w:cs="宋体"/>
          <w:color w:val="auto"/>
          <w:sz w:val="21"/>
          <w:szCs w:val="21"/>
          <w:highlight w:val="none"/>
        </w:rPr>
        <w:t>3.1 评标准备</w:t>
      </w:r>
    </w:p>
    <w:p w14:paraId="200EA8C5">
      <w:pPr>
        <w:spacing w:line="400" w:lineRule="exact"/>
        <w:ind w:firstLine="480"/>
        <w:rPr>
          <w:rFonts w:ascii="宋体" w:hAnsi="宋体" w:cs="宋体"/>
          <w:color w:val="auto"/>
          <w:sz w:val="21"/>
          <w:szCs w:val="21"/>
        </w:rPr>
      </w:pPr>
      <w:r>
        <w:rPr>
          <w:rFonts w:hint="eastAsia" w:ascii="宋体" w:hAnsi="宋体" w:cs="宋体"/>
          <w:color w:val="auto"/>
          <w:sz w:val="21"/>
          <w:szCs w:val="21"/>
        </w:rPr>
        <w:t>3.1.1 评标委员会成员到达评标现场时应在签到表上签到（或通过门禁系统签到）以证明其出席。</w:t>
      </w:r>
    </w:p>
    <w:p w14:paraId="1896BDDC">
      <w:pPr>
        <w:spacing w:line="400" w:lineRule="exact"/>
        <w:ind w:firstLine="480"/>
        <w:rPr>
          <w:rFonts w:ascii="宋体" w:hAnsi="宋体" w:cs="宋体"/>
          <w:color w:val="auto"/>
          <w:sz w:val="21"/>
          <w:szCs w:val="21"/>
        </w:rPr>
      </w:pPr>
      <w:r>
        <w:rPr>
          <w:rFonts w:hint="eastAsia" w:ascii="宋体" w:hAnsi="宋体" w:cs="宋体"/>
          <w:color w:val="auto"/>
          <w:sz w:val="21"/>
          <w:szCs w:val="21"/>
        </w:rPr>
        <w:t>3.1.2 评标委员会成员首先推选一名评标委员会负责人，负责评标活动的组织领导工作。</w:t>
      </w:r>
    </w:p>
    <w:p w14:paraId="37A18027">
      <w:pPr>
        <w:spacing w:line="400" w:lineRule="exact"/>
        <w:ind w:firstLine="480"/>
        <w:rPr>
          <w:rFonts w:ascii="宋体" w:hAnsi="宋体" w:cs="宋体"/>
          <w:color w:val="auto"/>
          <w:sz w:val="21"/>
          <w:szCs w:val="21"/>
        </w:rPr>
      </w:pPr>
      <w:r>
        <w:rPr>
          <w:rFonts w:hint="eastAsia" w:ascii="宋体" w:hAnsi="宋体" w:cs="宋体"/>
          <w:color w:val="auto"/>
          <w:sz w:val="21"/>
          <w:szCs w:val="21"/>
        </w:rPr>
        <w:t>3.1.3 招标人或招标代理机构应向评标委员会提供评标所需的信息和数据。评标委员会负责人应组织评标委员会成员认真研究招标文件，未在招标文件中规定的标准和方法不得作为评标的依据。</w:t>
      </w:r>
    </w:p>
    <w:p w14:paraId="0C6FDD9D">
      <w:pPr>
        <w:spacing w:line="400" w:lineRule="exact"/>
        <w:ind w:firstLine="480"/>
        <w:rPr>
          <w:rFonts w:ascii="宋体" w:hAnsi="宋体" w:cs="宋体"/>
          <w:color w:val="auto"/>
          <w:sz w:val="21"/>
          <w:szCs w:val="21"/>
        </w:rPr>
      </w:pPr>
      <w:r>
        <w:rPr>
          <w:rFonts w:hint="eastAsia" w:ascii="宋体" w:hAnsi="宋体" w:cs="宋体"/>
          <w:color w:val="auto"/>
          <w:sz w:val="21"/>
          <w:szCs w:val="21"/>
        </w:rPr>
        <w:t>3.2 初步评审</w:t>
      </w:r>
    </w:p>
    <w:p w14:paraId="21FDDAB2">
      <w:pPr>
        <w:spacing w:line="400" w:lineRule="exact"/>
        <w:ind w:firstLine="480"/>
        <w:rPr>
          <w:rFonts w:ascii="宋体" w:hAnsi="宋体" w:cs="宋体"/>
          <w:color w:val="auto"/>
          <w:sz w:val="21"/>
          <w:szCs w:val="21"/>
        </w:rPr>
      </w:pPr>
      <w:r>
        <w:rPr>
          <w:rFonts w:hint="eastAsia" w:ascii="宋体" w:hAnsi="宋体" w:cs="宋体"/>
          <w:color w:val="auto"/>
          <w:sz w:val="21"/>
          <w:szCs w:val="21"/>
        </w:rPr>
        <w:t>3.2.1评标委员会依据</w:t>
      </w:r>
      <w:r>
        <w:rPr>
          <w:rFonts w:hint="eastAsia" w:ascii="宋体" w:hAnsi="宋体" w:cs="宋体"/>
          <w:color w:val="auto"/>
          <w:sz w:val="21"/>
          <w:szCs w:val="21"/>
          <w:lang w:eastAsia="zh-CN"/>
        </w:rPr>
        <w:t>招标文件的</w:t>
      </w:r>
      <w:r>
        <w:rPr>
          <w:rFonts w:hint="eastAsia" w:ascii="宋体" w:hAnsi="宋体" w:cs="宋体"/>
          <w:color w:val="auto"/>
          <w:sz w:val="21"/>
          <w:szCs w:val="21"/>
        </w:rPr>
        <w:t>规定的标准对投标文件进行初步评审。</w:t>
      </w:r>
    </w:p>
    <w:p w14:paraId="41615119">
      <w:pPr>
        <w:spacing w:line="400" w:lineRule="exact"/>
        <w:ind w:firstLine="480"/>
        <w:rPr>
          <w:rFonts w:ascii="宋体" w:hAnsi="宋体" w:cs="宋体"/>
          <w:color w:val="auto"/>
          <w:sz w:val="21"/>
          <w:szCs w:val="21"/>
        </w:rPr>
      </w:pPr>
      <w:r>
        <w:rPr>
          <w:rFonts w:hint="eastAsia" w:ascii="宋体" w:hAnsi="宋体" w:cs="宋体"/>
          <w:color w:val="auto"/>
          <w:sz w:val="21"/>
          <w:szCs w:val="21"/>
        </w:rPr>
        <w:t>3.2.2投标文件不符合</w:t>
      </w:r>
      <w:r>
        <w:rPr>
          <w:rFonts w:hint="eastAsia" w:ascii="宋体" w:hAnsi="宋体" w:cs="宋体"/>
          <w:color w:val="auto"/>
          <w:sz w:val="21"/>
          <w:szCs w:val="21"/>
          <w:lang w:eastAsia="zh-CN"/>
        </w:rPr>
        <w:t>招标文件</w:t>
      </w:r>
      <w:r>
        <w:rPr>
          <w:rFonts w:hint="eastAsia" w:ascii="宋体" w:hAnsi="宋体" w:cs="宋体"/>
          <w:color w:val="auto"/>
          <w:sz w:val="21"/>
          <w:szCs w:val="21"/>
        </w:rPr>
        <w:t>评审标准的，属于重大偏差，视为未能对招标文件作出实质性响应，应当作为无效投标予以否决。</w:t>
      </w:r>
    </w:p>
    <w:p w14:paraId="65DFAB3B">
      <w:pPr>
        <w:spacing w:line="400" w:lineRule="exact"/>
        <w:ind w:firstLine="480"/>
        <w:rPr>
          <w:rFonts w:ascii="宋体" w:hAnsi="宋体" w:cs="宋体"/>
          <w:color w:val="auto"/>
          <w:sz w:val="21"/>
          <w:szCs w:val="21"/>
        </w:rPr>
      </w:pPr>
      <w:r>
        <w:rPr>
          <w:rFonts w:hint="eastAsia" w:ascii="宋体" w:hAnsi="宋体" w:cs="宋体"/>
          <w:color w:val="auto"/>
          <w:sz w:val="21"/>
          <w:szCs w:val="21"/>
        </w:rPr>
        <w:t>3.2.3投标报价有算术错误的，评标委员会按以下原则对投标报价进行修正，修正的价格经投标人书面确认后具有约束力。</w:t>
      </w:r>
    </w:p>
    <w:p w14:paraId="22E7CCA4">
      <w:pPr>
        <w:spacing w:line="400" w:lineRule="exact"/>
        <w:ind w:firstLine="480"/>
        <w:rPr>
          <w:rFonts w:ascii="宋体" w:hAnsi="宋体" w:cs="宋体"/>
          <w:color w:val="auto"/>
          <w:sz w:val="21"/>
          <w:szCs w:val="21"/>
        </w:rPr>
      </w:pPr>
      <w:r>
        <w:rPr>
          <w:rFonts w:hint="eastAsia" w:ascii="宋体" w:hAnsi="宋体" w:cs="宋体"/>
          <w:color w:val="auto"/>
          <w:sz w:val="21"/>
          <w:szCs w:val="21"/>
        </w:rPr>
        <w:t>(1）投标文件中的大写金额与小写金额不一致的，以大写金额为准；</w:t>
      </w:r>
    </w:p>
    <w:p w14:paraId="6F13A609">
      <w:pPr>
        <w:spacing w:line="400" w:lineRule="exact"/>
        <w:ind w:firstLine="480"/>
        <w:rPr>
          <w:rFonts w:ascii="宋体" w:hAnsi="宋体" w:cs="宋体"/>
          <w:color w:val="auto"/>
          <w:sz w:val="21"/>
          <w:szCs w:val="21"/>
        </w:rPr>
      </w:pPr>
      <w:r>
        <w:rPr>
          <w:rFonts w:hint="eastAsia" w:ascii="宋体" w:hAnsi="宋体" w:cs="宋体"/>
          <w:color w:val="auto"/>
          <w:sz w:val="21"/>
          <w:szCs w:val="21"/>
        </w:rPr>
        <w:t>(2）总价金额与依据单价计算出的结果不一致的，以单价金额为准修正总价，但单价金额小数点有明显错误的除外。</w:t>
      </w:r>
    </w:p>
    <w:p w14:paraId="213A4E27">
      <w:pPr>
        <w:spacing w:line="400" w:lineRule="exact"/>
        <w:ind w:firstLine="480"/>
        <w:rPr>
          <w:rFonts w:ascii="宋体" w:hAnsi="宋体" w:cs="宋体"/>
          <w:color w:val="auto"/>
          <w:sz w:val="21"/>
          <w:szCs w:val="21"/>
        </w:rPr>
      </w:pPr>
      <w:r>
        <w:rPr>
          <w:rFonts w:hint="eastAsia" w:ascii="宋体" w:hAnsi="宋体" w:cs="宋体"/>
          <w:color w:val="auto"/>
          <w:sz w:val="21"/>
          <w:szCs w:val="21"/>
        </w:rPr>
        <w:t>3.2.</w:t>
      </w:r>
      <w:r>
        <w:rPr>
          <w:rFonts w:hint="eastAsia" w:ascii="宋体" w:hAnsi="宋体" w:cs="宋体"/>
          <w:color w:val="auto"/>
          <w:sz w:val="21"/>
          <w:szCs w:val="21"/>
          <w:lang w:val="en-US" w:eastAsia="zh-CN"/>
        </w:rPr>
        <w:t>4</w:t>
      </w:r>
      <w:r>
        <w:rPr>
          <w:rFonts w:hint="eastAsia" w:ascii="宋体" w:hAnsi="宋体" w:cs="宋体"/>
          <w:color w:val="auto"/>
          <w:sz w:val="21"/>
          <w:szCs w:val="21"/>
        </w:rPr>
        <w:t>只有通过初步评审的投标文件才能进入详细评审。</w:t>
      </w:r>
    </w:p>
    <w:p w14:paraId="53593489">
      <w:pPr>
        <w:spacing w:line="400" w:lineRule="exact"/>
        <w:ind w:firstLine="480"/>
        <w:rPr>
          <w:rFonts w:ascii="宋体" w:hAnsi="宋体" w:cs="宋体"/>
          <w:color w:val="auto"/>
          <w:sz w:val="21"/>
          <w:szCs w:val="21"/>
        </w:rPr>
      </w:pPr>
      <w:r>
        <w:rPr>
          <w:rFonts w:hint="eastAsia" w:ascii="宋体" w:hAnsi="宋体" w:cs="宋体"/>
          <w:color w:val="auto"/>
          <w:sz w:val="21"/>
          <w:szCs w:val="21"/>
        </w:rPr>
        <w:t>3.3 详细评审</w:t>
      </w:r>
    </w:p>
    <w:p w14:paraId="7B30491F">
      <w:pPr>
        <w:spacing w:line="400" w:lineRule="exact"/>
        <w:ind w:firstLine="480"/>
        <w:rPr>
          <w:rFonts w:ascii="宋体" w:hAnsi="宋体" w:cs="宋体"/>
          <w:color w:val="auto"/>
          <w:sz w:val="21"/>
          <w:szCs w:val="21"/>
        </w:rPr>
      </w:pPr>
      <w:r>
        <w:rPr>
          <w:rFonts w:hint="eastAsia" w:ascii="宋体" w:hAnsi="宋体" w:cs="宋体"/>
          <w:color w:val="auto"/>
          <w:sz w:val="21"/>
          <w:szCs w:val="21"/>
        </w:rPr>
        <w:t>3.3.1 在详细评审发现符合“无效标书条款”的，应当作为无效投标予以否决，其投标报价亦不作为评标基准价的依据。</w:t>
      </w:r>
    </w:p>
    <w:p w14:paraId="2145D8E7">
      <w:pPr>
        <w:spacing w:line="400" w:lineRule="exact"/>
        <w:ind w:firstLine="480"/>
        <w:rPr>
          <w:rFonts w:ascii="宋体" w:hAnsi="宋体" w:cs="宋体"/>
          <w:color w:val="auto"/>
          <w:sz w:val="21"/>
          <w:szCs w:val="21"/>
        </w:rPr>
      </w:pPr>
      <w:r>
        <w:rPr>
          <w:rFonts w:hint="eastAsia" w:ascii="宋体" w:hAnsi="宋体" w:cs="宋体"/>
          <w:color w:val="auto"/>
          <w:sz w:val="21"/>
          <w:szCs w:val="21"/>
        </w:rPr>
        <w:t>3.3.2 评标委员会按</w:t>
      </w:r>
      <w:r>
        <w:rPr>
          <w:rFonts w:hint="eastAsia" w:ascii="宋体" w:hAnsi="宋体" w:cs="宋体"/>
          <w:color w:val="auto"/>
          <w:sz w:val="21"/>
          <w:szCs w:val="21"/>
          <w:lang w:eastAsia="zh-CN"/>
        </w:rPr>
        <w:t>招标文件</w:t>
      </w:r>
      <w:r>
        <w:rPr>
          <w:rFonts w:hint="eastAsia" w:ascii="宋体" w:hAnsi="宋体" w:cs="宋体"/>
          <w:color w:val="auto"/>
          <w:sz w:val="21"/>
          <w:szCs w:val="21"/>
        </w:rPr>
        <w:t>规定的量化因素和分值进行打分，并计算出综合评估得分。</w:t>
      </w:r>
    </w:p>
    <w:p w14:paraId="0B738E33">
      <w:pPr>
        <w:spacing w:line="400" w:lineRule="exact"/>
        <w:ind w:firstLine="480"/>
        <w:rPr>
          <w:rFonts w:ascii="宋体" w:hAnsi="宋体" w:cs="宋体"/>
          <w:color w:val="auto"/>
          <w:sz w:val="21"/>
          <w:szCs w:val="21"/>
        </w:rPr>
      </w:pPr>
      <w:r>
        <w:rPr>
          <w:rFonts w:hint="eastAsia" w:ascii="宋体" w:hAnsi="宋体" w:cs="宋体"/>
          <w:color w:val="auto"/>
          <w:sz w:val="21"/>
          <w:szCs w:val="21"/>
        </w:rPr>
        <w:t>3.3.3 评分分值计算保留小数点后两位，小数点后第三位“四舍五入”。</w:t>
      </w:r>
    </w:p>
    <w:p w14:paraId="690E085A">
      <w:pPr>
        <w:spacing w:line="400" w:lineRule="exact"/>
        <w:ind w:firstLine="480"/>
        <w:rPr>
          <w:rFonts w:ascii="宋体" w:hAnsi="宋体" w:cs="宋体"/>
          <w:color w:val="auto"/>
          <w:sz w:val="21"/>
          <w:szCs w:val="21"/>
        </w:rPr>
      </w:pPr>
      <w:r>
        <w:rPr>
          <w:rFonts w:hint="eastAsia" w:ascii="宋体" w:hAnsi="宋体" w:cs="宋体"/>
          <w:color w:val="auto"/>
          <w:sz w:val="21"/>
          <w:szCs w:val="21"/>
        </w:rPr>
        <w:t>3.4 投标文件的澄清和补正</w:t>
      </w:r>
    </w:p>
    <w:p w14:paraId="7BD46BB6">
      <w:pPr>
        <w:spacing w:line="400" w:lineRule="exact"/>
        <w:ind w:firstLine="480"/>
        <w:rPr>
          <w:rFonts w:ascii="宋体" w:hAnsi="宋体" w:cs="宋体"/>
          <w:color w:val="auto"/>
          <w:sz w:val="21"/>
          <w:szCs w:val="21"/>
        </w:rPr>
      </w:pPr>
      <w:r>
        <w:rPr>
          <w:rFonts w:hint="eastAsia" w:ascii="宋体" w:hAnsi="宋体" w:cs="宋体"/>
          <w:color w:val="auto"/>
          <w:sz w:val="21"/>
          <w:szCs w:val="21"/>
        </w:rPr>
        <w:t>3.4.1 在评标过程中，评标委员会可以书面形式要求投标人对所提交投标文件中不明确的内容进行书面澄清或说明，或者对细微偏差进行补正。评标委员会不接受投标人主动提出的澄清、说明或补正。</w:t>
      </w:r>
    </w:p>
    <w:p w14:paraId="6109543C">
      <w:pPr>
        <w:spacing w:line="400" w:lineRule="exact"/>
        <w:ind w:firstLine="480"/>
        <w:rPr>
          <w:rFonts w:ascii="宋体" w:hAnsi="宋体" w:cs="宋体"/>
          <w:color w:val="auto"/>
          <w:sz w:val="21"/>
          <w:szCs w:val="21"/>
        </w:rPr>
      </w:pPr>
      <w:r>
        <w:rPr>
          <w:rFonts w:hint="eastAsia" w:ascii="宋体" w:hAnsi="宋体" w:cs="宋体"/>
          <w:color w:val="auto"/>
          <w:sz w:val="21"/>
          <w:szCs w:val="21"/>
        </w:rPr>
        <w:t>3.4.2 澄清、说明和补正不得改变投标文件的实质性内容（算术性错误修正的除外）。投标人的书面澄清、说明和补正属于投标文件的组成部分。</w:t>
      </w:r>
    </w:p>
    <w:p w14:paraId="02090599">
      <w:pPr>
        <w:spacing w:line="400" w:lineRule="exact"/>
        <w:ind w:firstLine="480"/>
        <w:rPr>
          <w:rFonts w:ascii="宋体" w:hAnsi="宋体" w:cs="宋体"/>
          <w:color w:val="auto"/>
          <w:sz w:val="21"/>
          <w:szCs w:val="21"/>
        </w:rPr>
      </w:pPr>
      <w:r>
        <w:rPr>
          <w:rFonts w:hint="eastAsia" w:ascii="宋体" w:hAnsi="宋体" w:cs="宋体"/>
          <w:color w:val="auto"/>
          <w:sz w:val="21"/>
          <w:szCs w:val="21"/>
        </w:rPr>
        <w:t>3.4.3 评标委员会对投标人提交的澄清、说明或补正有疑问的，可以要求投标人进一步澄清、说明或补正。</w:t>
      </w:r>
    </w:p>
    <w:p w14:paraId="72D9D792">
      <w:pPr>
        <w:spacing w:line="400" w:lineRule="exact"/>
        <w:ind w:firstLine="480"/>
        <w:rPr>
          <w:rFonts w:ascii="宋体" w:hAnsi="宋体" w:cs="宋体"/>
          <w:color w:val="auto"/>
          <w:sz w:val="21"/>
          <w:szCs w:val="21"/>
        </w:rPr>
      </w:pPr>
      <w:r>
        <w:rPr>
          <w:rFonts w:hint="eastAsia" w:ascii="宋体" w:hAnsi="宋体" w:cs="宋体"/>
          <w:color w:val="auto"/>
          <w:sz w:val="21"/>
          <w:szCs w:val="21"/>
        </w:rPr>
        <w:t>3.5 推荐中标候选人或直接确定中标人</w:t>
      </w:r>
    </w:p>
    <w:p w14:paraId="7D921741">
      <w:pPr>
        <w:spacing w:line="400" w:lineRule="exact"/>
        <w:ind w:firstLine="480"/>
        <w:rPr>
          <w:rFonts w:ascii="宋体" w:hAnsi="宋体" w:cs="宋体"/>
          <w:color w:val="auto"/>
          <w:sz w:val="21"/>
          <w:szCs w:val="21"/>
        </w:rPr>
      </w:pPr>
      <w:r>
        <w:rPr>
          <w:rFonts w:hint="eastAsia" w:ascii="宋体" w:hAnsi="宋体" w:cs="宋体"/>
          <w:color w:val="auto"/>
          <w:sz w:val="21"/>
          <w:szCs w:val="21"/>
        </w:rPr>
        <w:t>3.5.1 除投标人须知前附表授权直接确定中标人外，评标委员会在推荐中标候选人时，应遵照以下原则:</w:t>
      </w:r>
    </w:p>
    <w:p w14:paraId="2536172F">
      <w:pPr>
        <w:spacing w:line="400" w:lineRule="exact"/>
        <w:ind w:firstLine="480"/>
        <w:rPr>
          <w:rFonts w:ascii="宋体" w:hAnsi="宋体" w:cs="宋体"/>
          <w:color w:val="auto"/>
          <w:sz w:val="21"/>
          <w:szCs w:val="21"/>
        </w:rPr>
      </w:pPr>
      <w:r>
        <w:rPr>
          <w:rFonts w:hint="eastAsia" w:ascii="宋体" w:hAnsi="宋体" w:cs="宋体"/>
          <w:color w:val="auto"/>
          <w:sz w:val="21"/>
          <w:szCs w:val="21"/>
        </w:rPr>
        <w:t>评标委员会按照最终得分由高至低的次序排列，并根据</w:t>
      </w:r>
      <w:r>
        <w:rPr>
          <w:rFonts w:hint="eastAsia" w:ascii="宋体" w:hAnsi="宋体" w:cs="宋体"/>
          <w:color w:val="auto"/>
          <w:sz w:val="21"/>
          <w:szCs w:val="21"/>
          <w:lang w:eastAsia="zh-CN"/>
        </w:rPr>
        <w:t>招标文件</w:t>
      </w:r>
      <w:r>
        <w:rPr>
          <w:rFonts w:hint="eastAsia" w:ascii="宋体" w:hAnsi="宋体" w:cs="宋体"/>
          <w:color w:val="auto"/>
          <w:sz w:val="21"/>
          <w:szCs w:val="21"/>
        </w:rPr>
        <w:t>规定的中标候选人数量，将排序在前的投标人推荐为中标候选人。</w:t>
      </w:r>
    </w:p>
    <w:p w14:paraId="3AF79AED">
      <w:pPr>
        <w:spacing w:line="400" w:lineRule="exact"/>
        <w:ind w:firstLine="480"/>
        <w:rPr>
          <w:rFonts w:ascii="宋体" w:hAnsi="宋体" w:cs="宋体"/>
          <w:color w:val="auto"/>
          <w:sz w:val="21"/>
          <w:szCs w:val="21"/>
        </w:rPr>
      </w:pPr>
      <w:r>
        <w:rPr>
          <w:rFonts w:hint="eastAsia" w:ascii="宋体" w:hAnsi="宋体" w:cs="宋体"/>
          <w:color w:val="auto"/>
          <w:sz w:val="21"/>
          <w:szCs w:val="21"/>
        </w:rPr>
        <w:t xml:space="preserve">3.6 提交评标报告 </w:t>
      </w:r>
    </w:p>
    <w:p w14:paraId="68F6497C">
      <w:pPr>
        <w:spacing w:line="400" w:lineRule="exact"/>
        <w:ind w:firstLine="480"/>
        <w:rPr>
          <w:rFonts w:hint="eastAsia" w:ascii="宋体" w:hAnsi="宋体" w:cs="宋体"/>
          <w:color w:val="auto"/>
          <w:sz w:val="21"/>
          <w:szCs w:val="21"/>
        </w:rPr>
      </w:pPr>
      <w:r>
        <w:rPr>
          <w:rFonts w:hint="eastAsia" w:ascii="宋体" w:hAnsi="宋体" w:cs="宋体"/>
          <w:color w:val="auto"/>
          <w:sz w:val="21"/>
          <w:szCs w:val="21"/>
        </w:rPr>
        <w:t>评标委员会完成评标后，应当向招标人提交书面评标报告。评标报告应当由全体评标委员会成员签字，并于评标结束时抄送有关行政监督部门。</w:t>
      </w:r>
    </w:p>
    <w:p w14:paraId="47677D28">
      <w:pPr>
        <w:pStyle w:val="21"/>
        <w:rPr>
          <w:rFonts w:hint="eastAsia"/>
          <w:color w:val="auto"/>
        </w:rPr>
      </w:pPr>
    </w:p>
    <w:p w14:paraId="1D7C02A7">
      <w:pPr>
        <w:rPr>
          <w:rFonts w:hint="eastAsia"/>
        </w:rPr>
      </w:pPr>
    </w:p>
    <w:p w14:paraId="61577207">
      <w:pPr>
        <w:pStyle w:val="22"/>
        <w:rPr>
          <w:rFonts w:hint="eastAsia"/>
          <w:color w:val="auto"/>
        </w:rPr>
      </w:pPr>
    </w:p>
    <w:p w14:paraId="233771E1">
      <w:pPr>
        <w:pStyle w:val="6"/>
        <w:spacing w:line="480" w:lineRule="exact"/>
        <w:jc w:val="both"/>
        <w:outlineLvl w:val="0"/>
        <w:rPr>
          <w:rFonts w:hint="eastAsia" w:ascii="宋体" w:hAnsi="宋体" w:eastAsia="宋体" w:cs="宋体"/>
          <w:b/>
          <w:sz w:val="44"/>
          <w:szCs w:val="44"/>
        </w:rPr>
      </w:pPr>
      <w:bookmarkStart w:id="154" w:name="_Toc16938559"/>
      <w:bookmarkStart w:id="155" w:name="_Toc15858"/>
      <w:bookmarkStart w:id="156" w:name="_Toc26554094"/>
      <w:bookmarkStart w:id="157" w:name="_Toc513029243"/>
      <w:bookmarkStart w:id="158" w:name="_Toc6648"/>
      <w:bookmarkStart w:id="159" w:name="_Toc20823315"/>
      <w:bookmarkStart w:id="160" w:name="_Toc120614282"/>
      <w:bookmarkStart w:id="161" w:name="_Toc10540"/>
      <w:bookmarkStart w:id="162" w:name="_Toc49090576"/>
    </w:p>
    <w:p w14:paraId="7AECCFE0">
      <w:pPr>
        <w:pStyle w:val="6"/>
        <w:spacing w:line="480" w:lineRule="exact"/>
        <w:jc w:val="center"/>
        <w:outlineLvl w:val="0"/>
        <w:rPr>
          <w:rFonts w:hint="eastAsia" w:ascii="宋体" w:hAnsi="宋体" w:eastAsia="宋体" w:cs="宋体"/>
          <w:b/>
          <w:sz w:val="44"/>
          <w:szCs w:val="44"/>
        </w:rPr>
      </w:pPr>
    </w:p>
    <w:p w14:paraId="350ED622">
      <w:pPr>
        <w:pStyle w:val="6"/>
        <w:spacing w:line="480" w:lineRule="exact"/>
        <w:jc w:val="center"/>
        <w:outlineLvl w:val="0"/>
        <w:rPr>
          <w:rFonts w:hint="eastAsia" w:ascii="宋体" w:hAnsi="宋体" w:eastAsia="宋体" w:cs="宋体"/>
          <w:b/>
          <w:sz w:val="44"/>
          <w:szCs w:val="44"/>
        </w:rPr>
      </w:pPr>
    </w:p>
    <w:p w14:paraId="04B40612">
      <w:pPr>
        <w:rPr>
          <w:rFonts w:hint="eastAsia" w:ascii="宋体" w:hAnsi="宋体" w:eastAsia="宋体" w:cs="宋体"/>
          <w:b/>
          <w:sz w:val="44"/>
          <w:szCs w:val="44"/>
        </w:rPr>
      </w:pPr>
      <w:r>
        <w:rPr>
          <w:rFonts w:hint="eastAsia" w:ascii="宋体" w:hAnsi="宋体" w:eastAsia="宋体" w:cs="宋体"/>
          <w:b/>
          <w:sz w:val="44"/>
          <w:szCs w:val="44"/>
        </w:rPr>
        <w:br w:type="page"/>
      </w:r>
    </w:p>
    <w:p w14:paraId="7D869398">
      <w:pPr>
        <w:rPr>
          <w:rFonts w:hint="eastAsia"/>
        </w:rPr>
      </w:pPr>
    </w:p>
    <w:p w14:paraId="7F3C54C9">
      <w:pPr>
        <w:pStyle w:val="6"/>
        <w:spacing w:line="480" w:lineRule="exact"/>
        <w:jc w:val="center"/>
        <w:outlineLvl w:val="0"/>
        <w:rPr>
          <w:rFonts w:hint="eastAsia" w:ascii="宋体" w:hAnsi="宋体" w:cs="宋体"/>
          <w:sz w:val="24"/>
          <w:szCs w:val="24"/>
          <w:lang w:bidi="ar"/>
        </w:rPr>
      </w:pPr>
      <w:r>
        <w:rPr>
          <w:rFonts w:hint="eastAsia" w:ascii="宋体" w:hAnsi="宋体" w:eastAsia="宋体" w:cs="宋体"/>
          <w:b/>
          <w:sz w:val="44"/>
          <w:szCs w:val="44"/>
        </w:rPr>
        <w:t>第五章 合同主要条款</w:t>
      </w:r>
      <w:bookmarkEnd w:id="149"/>
      <w:bookmarkEnd w:id="150"/>
      <w:bookmarkEnd w:id="154"/>
      <w:bookmarkEnd w:id="155"/>
      <w:bookmarkEnd w:id="156"/>
      <w:bookmarkEnd w:id="157"/>
      <w:bookmarkEnd w:id="158"/>
      <w:bookmarkEnd w:id="159"/>
      <w:bookmarkEnd w:id="160"/>
      <w:bookmarkEnd w:id="161"/>
      <w:bookmarkEnd w:id="162"/>
    </w:p>
    <w:p w14:paraId="48E8E342">
      <w:pPr>
        <w:pStyle w:val="9"/>
        <w:keepLines w:val="0"/>
        <w:pageBreakBefore w:val="0"/>
        <w:widowControl w:val="0"/>
        <w:tabs>
          <w:tab w:val="left" w:pos="2472"/>
        </w:tabs>
        <w:spacing w:before="120" w:after="120" w:line="400" w:lineRule="exact"/>
        <w:rPr>
          <w:rFonts w:hint="eastAsia" w:hAnsi="宋体" w:eastAsia="宋体"/>
          <w:color w:val="000000"/>
          <w:sz w:val="21"/>
          <w:szCs w:val="21"/>
          <w:u w:val="single"/>
          <w:lang w:eastAsia="zh-CN"/>
        </w:rPr>
      </w:pPr>
      <w:bookmarkStart w:id="163" w:name="_Toc31592"/>
      <w:bookmarkStart w:id="164" w:name="_Toc32002"/>
      <w:bookmarkStart w:id="165" w:name="_Toc25681"/>
      <w:r>
        <w:rPr>
          <w:rFonts w:hAnsi="宋体"/>
          <w:color w:val="000000"/>
          <w:sz w:val="21"/>
          <w:szCs w:val="21"/>
        </w:rPr>
        <w:t>委托方(以下简称甲方)：</w:t>
      </w:r>
      <w:r>
        <w:rPr>
          <w:rFonts w:hint="eastAsia" w:hAnsi="宋体"/>
          <w:color w:val="000000"/>
          <w:sz w:val="21"/>
          <w:szCs w:val="21"/>
          <w:u w:val="single"/>
          <w:lang w:eastAsia="zh-CN"/>
        </w:rPr>
        <w:t>盐城市大丰区新丰镇人民政府</w:t>
      </w:r>
    </w:p>
    <w:p w14:paraId="442A7D42">
      <w:pPr>
        <w:pStyle w:val="9"/>
        <w:keepLines w:val="0"/>
        <w:pageBreakBefore w:val="0"/>
        <w:widowControl w:val="0"/>
        <w:tabs>
          <w:tab w:val="left" w:pos="2472"/>
        </w:tabs>
        <w:spacing w:before="120" w:afterAutospacing="0" w:line="400" w:lineRule="exact"/>
        <w:rPr>
          <w:rFonts w:hAnsi="宋体"/>
          <w:color w:val="000000"/>
          <w:sz w:val="21"/>
          <w:szCs w:val="21"/>
        </w:rPr>
      </w:pPr>
      <w:r>
        <w:rPr>
          <w:rFonts w:hAnsi="宋体"/>
          <w:color w:val="000000"/>
          <w:sz w:val="21"/>
          <w:szCs w:val="21"/>
        </w:rPr>
        <w:t>受委托方(以下简称乙方)：</w:t>
      </w:r>
      <w:r>
        <w:rPr>
          <w:rFonts w:hint="eastAsia" w:hAnsi="宋体"/>
          <w:color w:val="000000"/>
          <w:sz w:val="21"/>
          <w:szCs w:val="21"/>
          <w:u w:val="single"/>
        </w:rPr>
        <w:t>(中标单位名称)</w:t>
      </w:r>
    </w:p>
    <w:p w14:paraId="08562F5E">
      <w:pPr>
        <w:pStyle w:val="9"/>
        <w:keepNext w:val="0"/>
        <w:keepLines w:val="0"/>
        <w:pageBreakBefore w:val="0"/>
        <w:widowControl w:val="0"/>
        <w:tabs>
          <w:tab w:val="left" w:pos="2472"/>
        </w:tabs>
        <w:kinsoku/>
        <w:wordWrap/>
        <w:overflowPunct/>
        <w:topLinePunct w:val="0"/>
        <w:autoSpaceDE/>
        <w:autoSpaceDN/>
        <w:bidi w:val="0"/>
        <w:adjustRightInd/>
        <w:snapToGrid/>
        <w:spacing w:beforeAutospacing="0" w:afterAutospacing="0" w:line="460" w:lineRule="exact"/>
        <w:ind w:firstLine="420"/>
        <w:textAlignment w:val="auto"/>
        <w:rPr>
          <w:rFonts w:hAnsi="宋体"/>
          <w:sz w:val="21"/>
          <w:szCs w:val="21"/>
        </w:rPr>
      </w:pPr>
      <w:r>
        <w:rPr>
          <w:rFonts w:hAnsi="宋体"/>
          <w:sz w:val="21"/>
          <w:szCs w:val="21"/>
        </w:rPr>
        <w:t>根据《中华人民共和国</w:t>
      </w:r>
      <w:r>
        <w:rPr>
          <w:rFonts w:hint="eastAsia" w:hAnsi="宋体"/>
          <w:sz w:val="21"/>
          <w:szCs w:val="21"/>
          <w:lang w:eastAsia="zh-CN"/>
        </w:rPr>
        <w:t>民法典</w:t>
      </w:r>
      <w:r>
        <w:rPr>
          <w:rFonts w:hAnsi="宋体"/>
          <w:sz w:val="21"/>
          <w:szCs w:val="21"/>
        </w:rPr>
        <w:t>》等国家、地方有关法律、法规和政策，在平等、自愿、协商一致的基础上，就甲方委托乙方对</w:t>
      </w:r>
      <w:r>
        <w:rPr>
          <w:rFonts w:hint="eastAsia" w:hAnsi="宋体"/>
          <w:sz w:val="21"/>
          <w:szCs w:val="21"/>
          <w:u w:val="single"/>
        </w:rPr>
        <w:t xml:space="preserve"> </w:t>
      </w:r>
      <w:r>
        <w:rPr>
          <w:rFonts w:hint="eastAsia" w:hAnsi="宋体"/>
          <w:sz w:val="21"/>
          <w:szCs w:val="21"/>
          <w:u w:val="single"/>
          <w:lang w:eastAsia="zh-CN"/>
        </w:rPr>
        <w:t>盐城市大丰区2026年斗龙港水面漂浮物打捞服务项目</w:t>
      </w:r>
      <w:r>
        <w:rPr>
          <w:rFonts w:hAnsi="宋体"/>
          <w:sz w:val="21"/>
          <w:szCs w:val="21"/>
        </w:rPr>
        <w:t>实行专业化、一体化的</w:t>
      </w:r>
      <w:r>
        <w:rPr>
          <w:rFonts w:hint="eastAsia" w:hAnsi="宋体"/>
          <w:sz w:val="21"/>
          <w:szCs w:val="21"/>
        </w:rPr>
        <w:t>服务</w:t>
      </w:r>
      <w:r>
        <w:rPr>
          <w:rFonts w:hAnsi="宋体"/>
          <w:sz w:val="21"/>
          <w:szCs w:val="21"/>
        </w:rPr>
        <w:t>订立本合同。</w:t>
      </w:r>
    </w:p>
    <w:p w14:paraId="2A1172FC">
      <w:pPr>
        <w:pStyle w:val="9"/>
        <w:keepNext w:val="0"/>
        <w:keepLines w:val="0"/>
        <w:pageBreakBefore w:val="0"/>
        <w:widowControl w:val="0"/>
        <w:numPr>
          <w:ilvl w:val="0"/>
          <w:numId w:val="3"/>
        </w:numPr>
        <w:tabs>
          <w:tab w:val="left" w:pos="2472"/>
        </w:tabs>
        <w:kinsoku/>
        <w:wordWrap/>
        <w:overflowPunct/>
        <w:topLinePunct w:val="0"/>
        <w:autoSpaceDE/>
        <w:autoSpaceDN/>
        <w:bidi w:val="0"/>
        <w:adjustRightInd/>
        <w:snapToGrid/>
        <w:spacing w:beforeAutospacing="0" w:afterAutospacing="0" w:line="460" w:lineRule="exact"/>
        <w:ind w:left="420" w:leftChars="0" w:firstLine="0" w:firstLineChars="0"/>
        <w:textAlignment w:val="auto"/>
        <w:rPr>
          <w:rFonts w:hAnsi="宋体"/>
          <w:sz w:val="21"/>
          <w:szCs w:val="21"/>
        </w:rPr>
      </w:pPr>
      <w:r>
        <w:rPr>
          <w:rFonts w:hAnsi="宋体"/>
          <w:sz w:val="21"/>
          <w:szCs w:val="21"/>
        </w:rPr>
        <w:t>基本情况</w:t>
      </w:r>
    </w:p>
    <w:p w14:paraId="46F21E70">
      <w:pPr>
        <w:pStyle w:val="9"/>
        <w:keepNext w:val="0"/>
        <w:keepLines w:val="0"/>
        <w:pageBreakBefore w:val="0"/>
        <w:widowControl w:val="0"/>
        <w:numPr>
          <w:ilvl w:val="0"/>
          <w:numId w:val="0"/>
        </w:numPr>
        <w:tabs>
          <w:tab w:val="left" w:pos="2472"/>
        </w:tabs>
        <w:kinsoku/>
        <w:wordWrap/>
        <w:overflowPunct/>
        <w:topLinePunct w:val="0"/>
        <w:autoSpaceDE/>
        <w:autoSpaceDN/>
        <w:bidi w:val="0"/>
        <w:adjustRightInd/>
        <w:snapToGrid/>
        <w:spacing w:beforeAutospacing="0" w:afterAutospacing="0" w:line="460" w:lineRule="exact"/>
        <w:ind w:left="420" w:leftChars="0"/>
        <w:textAlignment w:val="auto"/>
        <w:rPr>
          <w:rFonts w:hint="eastAsia" w:hAnsi="宋体" w:eastAsia="宋体"/>
          <w:sz w:val="21"/>
          <w:szCs w:val="21"/>
          <w:u w:val="single"/>
          <w:lang w:val="en-US" w:eastAsia="zh-CN"/>
        </w:rPr>
      </w:pPr>
      <w:r>
        <w:rPr>
          <w:rFonts w:hint="eastAsia" w:hAnsi="宋体"/>
          <w:sz w:val="21"/>
          <w:szCs w:val="21"/>
          <w:lang w:val="en-US" w:eastAsia="zh-CN"/>
        </w:rPr>
        <w:t>1.</w:t>
      </w:r>
      <w:r>
        <w:rPr>
          <w:rFonts w:hint="eastAsia" w:hAnsi="宋体"/>
          <w:sz w:val="21"/>
          <w:szCs w:val="21"/>
        </w:rPr>
        <w:t>标的名称：</w:t>
      </w:r>
      <w:r>
        <w:rPr>
          <w:rFonts w:hint="eastAsia" w:hAnsi="宋体"/>
          <w:sz w:val="21"/>
          <w:szCs w:val="21"/>
          <w:u w:val="single"/>
          <w:lang w:eastAsia="zh-CN"/>
        </w:rPr>
        <w:t>盐城市大丰区2026年斗龙港水面漂浮物打捞服务项目</w:t>
      </w:r>
    </w:p>
    <w:p w14:paraId="26635D3B">
      <w:pPr>
        <w:pStyle w:val="9"/>
        <w:keepNext w:val="0"/>
        <w:keepLines w:val="0"/>
        <w:pageBreakBefore w:val="0"/>
        <w:widowControl w:val="0"/>
        <w:numPr>
          <w:ilvl w:val="0"/>
          <w:numId w:val="0"/>
        </w:numPr>
        <w:tabs>
          <w:tab w:val="left" w:pos="2472"/>
        </w:tabs>
        <w:kinsoku/>
        <w:wordWrap/>
        <w:overflowPunct/>
        <w:topLinePunct w:val="0"/>
        <w:autoSpaceDE/>
        <w:autoSpaceDN/>
        <w:bidi w:val="0"/>
        <w:adjustRightInd/>
        <w:snapToGrid/>
        <w:spacing w:beforeAutospacing="0" w:afterAutospacing="0" w:line="460" w:lineRule="exact"/>
        <w:ind w:left="420" w:leftChars="0"/>
        <w:textAlignment w:val="auto"/>
        <w:rPr>
          <w:rFonts w:hint="default" w:hAnsi="宋体" w:eastAsia="宋体"/>
          <w:sz w:val="21"/>
          <w:szCs w:val="21"/>
          <w:u w:val="single"/>
          <w:lang w:val="en-US" w:eastAsia="zh-CN"/>
        </w:rPr>
      </w:pPr>
      <w:r>
        <w:rPr>
          <w:rFonts w:hint="eastAsia" w:hAnsi="宋体"/>
          <w:sz w:val="21"/>
          <w:szCs w:val="21"/>
          <w:lang w:val="en-US" w:eastAsia="zh-CN"/>
        </w:rPr>
        <w:t>2.</w:t>
      </w:r>
      <w:r>
        <w:rPr>
          <w:rFonts w:hint="eastAsia" w:hAnsi="宋体"/>
          <w:sz w:val="21"/>
          <w:szCs w:val="21"/>
        </w:rPr>
        <w:t>履行时间（期限）：</w:t>
      </w:r>
      <w:r>
        <w:rPr>
          <w:rFonts w:hint="eastAsia" w:ascii="宋体" w:hAnsi="宋体" w:eastAsia="宋体" w:cs="宋体"/>
          <w:sz w:val="21"/>
          <w:szCs w:val="21"/>
          <w:u w:val="single"/>
          <w:lang w:eastAsia="zh-CN"/>
        </w:rPr>
        <w:t>合同签订后12个月</w:t>
      </w:r>
    </w:p>
    <w:p w14:paraId="13846097">
      <w:pPr>
        <w:pStyle w:val="9"/>
        <w:keepNext w:val="0"/>
        <w:keepLines w:val="0"/>
        <w:pageBreakBefore w:val="0"/>
        <w:widowControl w:val="0"/>
        <w:numPr>
          <w:ilvl w:val="0"/>
          <w:numId w:val="0"/>
        </w:numPr>
        <w:tabs>
          <w:tab w:val="left" w:pos="2472"/>
        </w:tabs>
        <w:kinsoku/>
        <w:wordWrap/>
        <w:overflowPunct/>
        <w:topLinePunct w:val="0"/>
        <w:autoSpaceDE/>
        <w:autoSpaceDN/>
        <w:bidi w:val="0"/>
        <w:adjustRightInd/>
        <w:snapToGrid/>
        <w:spacing w:beforeAutospacing="0" w:afterAutospacing="0" w:line="460" w:lineRule="exact"/>
        <w:ind w:left="420" w:leftChars="0"/>
        <w:textAlignment w:val="auto"/>
        <w:rPr>
          <w:rFonts w:hint="default" w:hAnsi="宋体" w:eastAsia="宋体"/>
          <w:sz w:val="21"/>
          <w:szCs w:val="21"/>
          <w:u w:val="single"/>
          <w:lang w:val="en-US" w:eastAsia="zh-CN"/>
        </w:rPr>
      </w:pPr>
      <w:r>
        <w:rPr>
          <w:rFonts w:hint="eastAsia" w:hAnsi="宋体"/>
          <w:sz w:val="21"/>
          <w:szCs w:val="21"/>
          <w:lang w:val="en-US" w:eastAsia="zh-CN"/>
        </w:rPr>
        <w:t>3.</w:t>
      </w:r>
      <w:r>
        <w:rPr>
          <w:rFonts w:hint="eastAsia" w:hAnsi="宋体"/>
          <w:sz w:val="21"/>
          <w:szCs w:val="21"/>
        </w:rPr>
        <w:t>履行地点：</w:t>
      </w:r>
      <w:r>
        <w:rPr>
          <w:rFonts w:hint="eastAsia" w:hAnsi="宋体"/>
          <w:sz w:val="21"/>
          <w:szCs w:val="21"/>
          <w:u w:val="single"/>
          <w:lang w:val="en-US" w:eastAsia="zh-CN"/>
        </w:rPr>
        <w:t>盐城市大丰区</w:t>
      </w:r>
    </w:p>
    <w:p w14:paraId="690598B1">
      <w:pPr>
        <w:pStyle w:val="9"/>
        <w:keepNext w:val="0"/>
        <w:keepLines w:val="0"/>
        <w:pageBreakBefore w:val="0"/>
        <w:widowControl w:val="0"/>
        <w:tabs>
          <w:tab w:val="left" w:pos="2472"/>
        </w:tabs>
        <w:kinsoku/>
        <w:wordWrap/>
        <w:overflowPunct/>
        <w:topLinePunct w:val="0"/>
        <w:autoSpaceDE/>
        <w:autoSpaceDN/>
        <w:bidi w:val="0"/>
        <w:adjustRightInd/>
        <w:snapToGrid/>
        <w:spacing w:beforeAutospacing="0" w:afterAutospacing="0" w:line="460" w:lineRule="exact"/>
        <w:textAlignment w:val="auto"/>
        <w:rPr>
          <w:rFonts w:hAnsi="宋体"/>
          <w:sz w:val="21"/>
          <w:szCs w:val="21"/>
        </w:rPr>
      </w:pPr>
      <w:r>
        <w:rPr>
          <w:rFonts w:hint="eastAsia" w:hAnsi="宋体"/>
          <w:sz w:val="21"/>
          <w:szCs w:val="21"/>
        </w:rPr>
        <w:t xml:space="preserve"> </w:t>
      </w:r>
      <w:r>
        <w:rPr>
          <w:rFonts w:hAnsi="宋体"/>
          <w:sz w:val="21"/>
          <w:szCs w:val="21"/>
        </w:rPr>
        <w:t>　</w:t>
      </w:r>
      <w:r>
        <w:rPr>
          <w:rFonts w:hint="eastAsia" w:hAnsi="宋体"/>
          <w:sz w:val="21"/>
          <w:szCs w:val="21"/>
          <w:lang w:val="en-US" w:eastAsia="zh-CN"/>
        </w:rPr>
        <w:t xml:space="preserve"> </w:t>
      </w:r>
      <w:r>
        <w:rPr>
          <w:rFonts w:hAnsi="宋体"/>
          <w:sz w:val="21"/>
          <w:szCs w:val="21"/>
        </w:rPr>
        <w:t>第二条　委托事项</w:t>
      </w:r>
    </w:p>
    <w:p w14:paraId="0E8BBD48">
      <w:pPr>
        <w:pStyle w:val="9"/>
        <w:keepNext w:val="0"/>
        <w:keepLines w:val="0"/>
        <w:pageBreakBefore w:val="0"/>
        <w:widowControl w:val="0"/>
        <w:tabs>
          <w:tab w:val="left" w:pos="2472"/>
        </w:tabs>
        <w:kinsoku/>
        <w:wordWrap/>
        <w:overflowPunct/>
        <w:topLinePunct w:val="0"/>
        <w:autoSpaceDE/>
        <w:autoSpaceDN/>
        <w:bidi w:val="0"/>
        <w:adjustRightInd/>
        <w:snapToGrid/>
        <w:spacing w:beforeAutospacing="0" w:afterAutospacing="0" w:line="460" w:lineRule="exact"/>
        <w:textAlignment w:val="auto"/>
        <w:rPr>
          <w:rFonts w:hint="eastAsia" w:hAnsi="宋体"/>
          <w:sz w:val="21"/>
          <w:szCs w:val="21"/>
          <w:u w:val="single"/>
        </w:rPr>
      </w:pPr>
      <w:r>
        <w:rPr>
          <w:rFonts w:hint="eastAsia" w:hAnsi="宋体"/>
          <w:b/>
          <w:sz w:val="21"/>
          <w:szCs w:val="21"/>
        </w:rPr>
        <w:t>　</w:t>
      </w:r>
      <w:r>
        <w:rPr>
          <w:rFonts w:hint="eastAsia" w:hAnsi="宋体"/>
          <w:b w:val="0"/>
          <w:bCs/>
          <w:sz w:val="21"/>
          <w:szCs w:val="21"/>
        </w:rPr>
        <w:t>　</w:t>
      </w:r>
      <w:r>
        <w:rPr>
          <w:rFonts w:hint="eastAsia" w:hAnsi="宋体"/>
          <w:b w:val="0"/>
          <w:bCs/>
          <w:sz w:val="21"/>
          <w:szCs w:val="21"/>
          <w:lang w:val="en-US" w:eastAsia="zh-CN"/>
        </w:rPr>
        <w:t>1</w:t>
      </w:r>
      <w:r>
        <w:rPr>
          <w:rFonts w:hint="eastAsia" w:hAnsi="宋体"/>
          <w:b w:val="0"/>
          <w:bCs/>
          <w:sz w:val="21"/>
          <w:szCs w:val="21"/>
        </w:rPr>
        <w:t>. 服务内容：</w:t>
      </w:r>
      <w:r>
        <w:rPr>
          <w:rFonts w:hint="eastAsia" w:hAnsi="宋体"/>
          <w:b w:val="0"/>
          <w:bCs/>
          <w:sz w:val="21"/>
          <w:szCs w:val="21"/>
          <w:u w:val="single"/>
        </w:rPr>
        <w:t>详见</w:t>
      </w:r>
      <w:r>
        <w:rPr>
          <w:rFonts w:hint="eastAsia" w:hAnsi="宋体"/>
          <w:sz w:val="21"/>
          <w:szCs w:val="21"/>
          <w:u w:val="single"/>
        </w:rPr>
        <w:t>招标文件；</w:t>
      </w:r>
    </w:p>
    <w:p w14:paraId="0E818B44">
      <w:pPr>
        <w:pStyle w:val="9"/>
        <w:keepNext w:val="0"/>
        <w:keepLines w:val="0"/>
        <w:pageBreakBefore w:val="0"/>
        <w:widowControl w:val="0"/>
        <w:tabs>
          <w:tab w:val="left" w:pos="2472"/>
        </w:tabs>
        <w:kinsoku/>
        <w:wordWrap/>
        <w:overflowPunct/>
        <w:topLinePunct w:val="0"/>
        <w:autoSpaceDE/>
        <w:autoSpaceDN/>
        <w:bidi w:val="0"/>
        <w:adjustRightInd/>
        <w:snapToGrid/>
        <w:spacing w:beforeAutospacing="0" w:afterAutospacing="0" w:line="460" w:lineRule="exact"/>
        <w:ind w:firstLine="420"/>
        <w:textAlignment w:val="auto"/>
        <w:rPr>
          <w:rFonts w:hint="eastAsia" w:hAnsi="宋体"/>
          <w:bCs/>
          <w:sz w:val="21"/>
          <w:szCs w:val="21"/>
        </w:rPr>
      </w:pPr>
      <w:r>
        <w:rPr>
          <w:rFonts w:hint="eastAsia" w:hAnsi="宋体"/>
          <w:sz w:val="21"/>
          <w:szCs w:val="21"/>
          <w:lang w:val="en-US" w:eastAsia="zh-CN"/>
        </w:rPr>
        <w:t>2</w:t>
      </w:r>
      <w:r>
        <w:rPr>
          <w:rFonts w:hint="eastAsia" w:hAnsi="宋体"/>
          <w:sz w:val="21"/>
          <w:szCs w:val="21"/>
        </w:rPr>
        <w:t>.</w:t>
      </w:r>
      <w:r>
        <w:rPr>
          <w:rFonts w:hint="eastAsia" w:hAnsi="宋体"/>
          <w:bCs/>
          <w:sz w:val="21"/>
          <w:szCs w:val="21"/>
        </w:rPr>
        <w:t xml:space="preserve"> 服务要求：见本项目招标文件；甲方从乙方开始进场时立即按照招标文件和本合同要求对乙方进行考核。在使用期内，乙方不能满足甲方服务内容及要求的，甲方将终止合同，乙方无条件清退出场。</w:t>
      </w:r>
    </w:p>
    <w:p w14:paraId="45861CC5">
      <w:pPr>
        <w:pStyle w:val="9"/>
        <w:keepNext w:val="0"/>
        <w:keepLines w:val="0"/>
        <w:pageBreakBefore w:val="0"/>
        <w:widowControl w:val="0"/>
        <w:tabs>
          <w:tab w:val="left" w:pos="2472"/>
        </w:tabs>
        <w:kinsoku/>
        <w:wordWrap/>
        <w:overflowPunct/>
        <w:topLinePunct w:val="0"/>
        <w:autoSpaceDE/>
        <w:autoSpaceDN/>
        <w:bidi w:val="0"/>
        <w:adjustRightInd/>
        <w:snapToGrid/>
        <w:spacing w:beforeAutospacing="0" w:afterAutospacing="0" w:line="460" w:lineRule="exact"/>
        <w:ind w:firstLine="420"/>
        <w:textAlignment w:val="auto"/>
        <w:rPr>
          <w:rFonts w:hint="eastAsia" w:hAnsi="宋体"/>
          <w:bCs/>
          <w:sz w:val="21"/>
          <w:szCs w:val="21"/>
          <w:highlight w:val="yellow"/>
        </w:rPr>
      </w:pPr>
      <w:r>
        <w:rPr>
          <w:rFonts w:hint="eastAsia" w:hAnsi="宋体"/>
          <w:bCs/>
          <w:sz w:val="21"/>
          <w:szCs w:val="21"/>
          <w:highlight w:val="none"/>
          <w:lang w:val="en-US" w:eastAsia="zh-CN"/>
        </w:rPr>
        <w:t>3.</w:t>
      </w:r>
      <w:r>
        <w:rPr>
          <w:rFonts w:hint="eastAsia" w:hAnsi="宋体"/>
          <w:bCs/>
          <w:sz w:val="21"/>
          <w:szCs w:val="21"/>
          <w:highlight w:val="none"/>
        </w:rPr>
        <w:t>考核要求</w:t>
      </w:r>
      <w:r>
        <w:rPr>
          <w:rFonts w:hint="eastAsia" w:hAnsi="宋体"/>
          <w:bCs/>
          <w:sz w:val="21"/>
          <w:szCs w:val="21"/>
          <w:highlight w:val="none"/>
          <w:lang w:eastAsia="zh-CN"/>
        </w:rPr>
        <w:t>：</w:t>
      </w:r>
      <w:r>
        <w:rPr>
          <w:rFonts w:hint="eastAsia" w:ascii="宋体" w:hAnsi="宋体" w:cs="宋体"/>
          <w:b/>
          <w:bCs/>
          <w:highlight w:val="none"/>
        </w:rPr>
        <w:t>甲方对乙方采取随时检查与月度考核相结合的方式，以打分</w:t>
      </w:r>
      <w:r>
        <w:rPr>
          <w:rFonts w:hint="eastAsia" w:ascii="宋体" w:hAnsi="宋体" w:cs="宋体"/>
          <w:b/>
          <w:bCs/>
          <w:color w:val="auto"/>
          <w:highlight w:val="none"/>
        </w:rPr>
        <w:t>形式考核。考核分数与年度费用结算挂钩，考核分数高于等于95分时不扣除任何费用，考核分数在90分（含）至94分（含）时每扣1分减中标价的1</w:t>
      </w:r>
      <w:r>
        <w:rPr>
          <w:rFonts w:hint="eastAsia" w:ascii="宋体" w:hAnsi="宋体" w:eastAsia="宋体" w:cs="宋体"/>
          <w:b/>
          <w:bCs/>
          <w:color w:val="auto"/>
          <w:highlight w:val="none"/>
        </w:rPr>
        <w:t>％</w:t>
      </w:r>
      <w:r>
        <w:rPr>
          <w:rFonts w:hint="eastAsia" w:ascii="宋体" w:hAnsi="宋体" w:cs="宋体"/>
          <w:b/>
          <w:bCs/>
          <w:color w:val="auto"/>
          <w:highlight w:val="none"/>
        </w:rPr>
        <w:t>，考核分数在</w:t>
      </w:r>
      <w:r>
        <w:rPr>
          <w:rFonts w:hint="eastAsia" w:ascii="宋体" w:hAnsi="宋体" w:cs="宋体"/>
          <w:b/>
          <w:bCs/>
          <w:color w:val="auto"/>
          <w:highlight w:val="none"/>
          <w:lang w:val="en-US" w:eastAsia="zh-CN"/>
        </w:rPr>
        <w:t>8</w:t>
      </w:r>
      <w:r>
        <w:rPr>
          <w:rFonts w:hint="eastAsia" w:ascii="宋体" w:hAnsi="宋体" w:cs="宋体"/>
          <w:b/>
          <w:bCs/>
          <w:color w:val="auto"/>
          <w:highlight w:val="none"/>
        </w:rPr>
        <w:t>0分（含）至89分（含）时每扣1分减中标价的</w:t>
      </w:r>
      <w:r>
        <w:rPr>
          <w:rFonts w:hint="eastAsia" w:ascii="宋体" w:hAnsi="宋体" w:cs="宋体"/>
          <w:b/>
          <w:bCs/>
          <w:color w:val="auto"/>
          <w:highlight w:val="none"/>
          <w:lang w:val="en-US" w:eastAsia="zh-CN"/>
        </w:rPr>
        <w:t>1.5</w:t>
      </w:r>
      <w:r>
        <w:rPr>
          <w:rFonts w:hint="eastAsia" w:ascii="宋体" w:hAnsi="宋体" w:eastAsia="宋体" w:cs="宋体"/>
          <w:b/>
          <w:bCs/>
          <w:color w:val="auto"/>
          <w:highlight w:val="none"/>
        </w:rPr>
        <w:t>％</w:t>
      </w:r>
      <w:r>
        <w:rPr>
          <w:rFonts w:hint="eastAsia" w:ascii="宋体" w:hAnsi="宋体" w:cs="宋体"/>
          <w:b/>
          <w:bCs/>
          <w:color w:val="auto"/>
          <w:highlight w:val="none"/>
        </w:rPr>
        <w:t>，考核分数在</w:t>
      </w:r>
      <w:r>
        <w:rPr>
          <w:rFonts w:hint="eastAsia" w:ascii="宋体" w:hAnsi="宋体" w:cs="宋体"/>
          <w:b/>
          <w:bCs/>
          <w:color w:val="auto"/>
          <w:highlight w:val="none"/>
          <w:lang w:val="en-US" w:eastAsia="zh-CN"/>
        </w:rPr>
        <w:t>70</w:t>
      </w:r>
      <w:r>
        <w:rPr>
          <w:rFonts w:hint="eastAsia" w:ascii="宋体" w:hAnsi="宋体" w:cs="宋体"/>
          <w:b/>
          <w:bCs/>
          <w:color w:val="auto"/>
          <w:highlight w:val="none"/>
        </w:rPr>
        <w:t>分（含）至</w:t>
      </w:r>
      <w:r>
        <w:rPr>
          <w:rFonts w:hint="eastAsia" w:ascii="宋体" w:hAnsi="宋体" w:cs="宋体"/>
          <w:b/>
          <w:bCs/>
          <w:color w:val="auto"/>
          <w:highlight w:val="none"/>
          <w:lang w:val="en-US" w:eastAsia="zh-CN"/>
        </w:rPr>
        <w:t>7</w:t>
      </w:r>
      <w:r>
        <w:rPr>
          <w:rFonts w:hint="eastAsia" w:ascii="宋体" w:hAnsi="宋体" w:cs="宋体"/>
          <w:b/>
          <w:bCs/>
          <w:color w:val="auto"/>
          <w:highlight w:val="none"/>
        </w:rPr>
        <w:t>9分（含）时每扣1分减中标价的</w:t>
      </w:r>
      <w:r>
        <w:rPr>
          <w:rFonts w:hint="eastAsia" w:ascii="宋体" w:hAnsi="宋体" w:cs="宋体"/>
          <w:b/>
          <w:bCs/>
          <w:color w:val="auto"/>
          <w:highlight w:val="none"/>
          <w:lang w:val="en-US" w:eastAsia="zh-CN"/>
        </w:rPr>
        <w:t>2</w:t>
      </w:r>
      <w:r>
        <w:rPr>
          <w:rFonts w:hint="eastAsia" w:ascii="宋体" w:hAnsi="宋体" w:eastAsia="宋体" w:cs="宋体"/>
          <w:b/>
          <w:bCs/>
          <w:color w:val="auto"/>
          <w:highlight w:val="none"/>
        </w:rPr>
        <w:t>％</w:t>
      </w:r>
      <w:r>
        <w:rPr>
          <w:rFonts w:hint="eastAsia" w:ascii="宋体" w:hAnsi="宋体" w:cs="宋体"/>
          <w:b/>
          <w:bCs/>
          <w:color w:val="auto"/>
          <w:highlight w:val="none"/>
          <w:lang w:eastAsia="zh-CN"/>
        </w:rPr>
        <w:t>，</w:t>
      </w:r>
      <w:r>
        <w:rPr>
          <w:rFonts w:hint="eastAsia" w:ascii="宋体" w:hAnsi="宋体" w:cs="宋体"/>
          <w:b/>
          <w:bCs/>
          <w:color w:val="auto"/>
          <w:highlight w:val="none"/>
        </w:rPr>
        <w:t>考核分数70分</w:t>
      </w:r>
      <w:r>
        <w:rPr>
          <w:rFonts w:hint="eastAsia" w:ascii="宋体" w:hAnsi="宋体" w:cs="宋体"/>
          <w:b/>
          <w:bCs/>
          <w:color w:val="auto"/>
          <w:highlight w:val="none"/>
          <w:lang w:val="en-US" w:eastAsia="zh-CN"/>
        </w:rPr>
        <w:t>以下</w:t>
      </w:r>
      <w:r>
        <w:rPr>
          <w:rFonts w:hint="eastAsia" w:ascii="宋体" w:hAnsi="宋体" w:cs="宋体"/>
          <w:b/>
          <w:bCs/>
          <w:color w:val="auto"/>
          <w:highlight w:val="none"/>
        </w:rPr>
        <w:t>时每扣1分减中标价的</w:t>
      </w:r>
      <w:r>
        <w:rPr>
          <w:rFonts w:hint="eastAsia" w:ascii="宋体" w:hAnsi="宋体" w:cs="宋体"/>
          <w:b/>
          <w:bCs/>
          <w:color w:val="auto"/>
          <w:highlight w:val="none"/>
          <w:lang w:val="en-US" w:eastAsia="zh-CN"/>
        </w:rPr>
        <w:t>2.5</w:t>
      </w:r>
      <w:r>
        <w:rPr>
          <w:rFonts w:hint="eastAsia" w:ascii="宋体" w:hAnsi="宋体" w:eastAsia="宋体" w:cs="宋体"/>
          <w:b/>
          <w:bCs/>
          <w:color w:val="auto"/>
          <w:highlight w:val="none"/>
        </w:rPr>
        <w:t>％</w:t>
      </w:r>
      <w:r>
        <w:rPr>
          <w:rFonts w:hint="eastAsia" w:ascii="宋体" w:hAnsi="宋体" w:cs="宋体"/>
          <w:b/>
          <w:bCs/>
          <w:color w:val="auto"/>
          <w:highlight w:val="none"/>
          <w:lang w:eastAsia="zh-CN"/>
        </w:rPr>
        <w:t>，</w:t>
      </w:r>
      <w:r>
        <w:rPr>
          <w:rFonts w:hint="eastAsia" w:ascii="宋体" w:hAnsi="宋体" w:cs="宋体"/>
          <w:b/>
          <w:bCs/>
          <w:color w:val="auto"/>
          <w:highlight w:val="none"/>
          <w:lang w:val="en-US" w:eastAsia="zh-CN"/>
        </w:rPr>
        <w:t>扣完为止</w:t>
      </w:r>
      <w:r>
        <w:rPr>
          <w:rFonts w:hint="eastAsia" w:ascii="宋体" w:hAnsi="宋体" w:cs="宋体"/>
          <w:b/>
          <w:bCs/>
          <w:color w:val="auto"/>
          <w:highlight w:val="none"/>
        </w:rPr>
        <w:t>。</w:t>
      </w:r>
    </w:p>
    <w:p w14:paraId="4BE220DC">
      <w:pPr>
        <w:pStyle w:val="9"/>
        <w:keepNext w:val="0"/>
        <w:keepLines w:val="0"/>
        <w:pageBreakBefore w:val="0"/>
        <w:widowControl w:val="0"/>
        <w:tabs>
          <w:tab w:val="left" w:pos="2472"/>
        </w:tabs>
        <w:kinsoku/>
        <w:wordWrap/>
        <w:overflowPunct/>
        <w:topLinePunct w:val="0"/>
        <w:autoSpaceDE/>
        <w:autoSpaceDN/>
        <w:bidi w:val="0"/>
        <w:adjustRightInd/>
        <w:snapToGrid/>
        <w:spacing w:beforeAutospacing="0" w:afterAutospacing="0" w:line="460" w:lineRule="exact"/>
        <w:textAlignment w:val="auto"/>
        <w:rPr>
          <w:rFonts w:hAnsi="宋体"/>
          <w:sz w:val="21"/>
          <w:szCs w:val="21"/>
        </w:rPr>
      </w:pPr>
      <w:r>
        <w:rPr>
          <w:rFonts w:hAnsi="宋体"/>
          <w:sz w:val="21"/>
          <w:szCs w:val="21"/>
        </w:rPr>
        <w:t>　　第三条　合同期限</w:t>
      </w:r>
    </w:p>
    <w:p w14:paraId="17FBF1B0">
      <w:pPr>
        <w:pStyle w:val="9"/>
        <w:keepNext w:val="0"/>
        <w:keepLines w:val="0"/>
        <w:pageBreakBefore w:val="0"/>
        <w:widowControl w:val="0"/>
        <w:tabs>
          <w:tab w:val="left" w:pos="2472"/>
        </w:tabs>
        <w:kinsoku/>
        <w:wordWrap/>
        <w:overflowPunct/>
        <w:topLinePunct w:val="0"/>
        <w:autoSpaceDE/>
        <w:autoSpaceDN/>
        <w:bidi w:val="0"/>
        <w:adjustRightInd/>
        <w:snapToGrid/>
        <w:spacing w:beforeAutospacing="0" w:afterAutospacing="0" w:line="460" w:lineRule="exact"/>
        <w:ind w:firstLine="424"/>
        <w:textAlignment w:val="auto"/>
        <w:rPr>
          <w:rFonts w:hint="eastAsia" w:hAnsi="宋体"/>
          <w:color w:val="FF0000"/>
          <w:sz w:val="21"/>
          <w:szCs w:val="21"/>
        </w:rPr>
      </w:pPr>
      <w:r>
        <w:rPr>
          <w:rFonts w:hAnsi="宋体"/>
          <w:sz w:val="21"/>
          <w:szCs w:val="21"/>
        </w:rPr>
        <w:t>本合同期限为</w:t>
      </w:r>
      <w:r>
        <w:rPr>
          <w:rFonts w:hint="eastAsia" w:hAnsi="宋体"/>
          <w:sz w:val="21"/>
          <w:szCs w:val="21"/>
          <w:u w:val="single"/>
        </w:rPr>
        <w:t xml:space="preserve"> </w:t>
      </w:r>
      <w:r>
        <w:rPr>
          <w:rFonts w:hint="eastAsia" w:hAnsi="宋体"/>
          <w:sz w:val="21"/>
          <w:szCs w:val="21"/>
          <w:u w:val="single"/>
          <w:lang w:val="en-US" w:eastAsia="zh-CN"/>
        </w:rPr>
        <w:t>12</w:t>
      </w:r>
      <w:r>
        <w:rPr>
          <w:rFonts w:hint="eastAsia" w:hAnsi="宋体"/>
          <w:sz w:val="21"/>
          <w:szCs w:val="21"/>
          <w:u w:val="single"/>
        </w:rPr>
        <w:t xml:space="preserve"> </w:t>
      </w:r>
      <w:r>
        <w:rPr>
          <w:rFonts w:hint="eastAsia" w:hAnsi="宋体"/>
          <w:sz w:val="21"/>
          <w:szCs w:val="21"/>
        </w:rPr>
        <w:t>个月，自</w:t>
      </w:r>
      <w:r>
        <w:rPr>
          <w:rFonts w:hint="eastAsia" w:hAnsi="宋体"/>
          <w:sz w:val="21"/>
          <w:szCs w:val="21"/>
          <w:u w:val="single"/>
        </w:rPr>
        <w:t xml:space="preserve">       </w:t>
      </w:r>
      <w:r>
        <w:rPr>
          <w:rFonts w:hint="eastAsia" w:hAnsi="宋体"/>
          <w:sz w:val="21"/>
          <w:szCs w:val="21"/>
        </w:rPr>
        <w:t>年</w:t>
      </w:r>
      <w:r>
        <w:rPr>
          <w:rFonts w:hint="eastAsia" w:hAnsi="宋体"/>
          <w:sz w:val="21"/>
          <w:szCs w:val="21"/>
          <w:u w:val="single"/>
        </w:rPr>
        <w:t xml:space="preserve">     </w:t>
      </w:r>
      <w:r>
        <w:rPr>
          <w:rFonts w:hint="eastAsia" w:hAnsi="宋体"/>
          <w:sz w:val="21"/>
          <w:szCs w:val="21"/>
        </w:rPr>
        <w:t>月</w:t>
      </w:r>
      <w:r>
        <w:rPr>
          <w:rFonts w:hint="eastAsia" w:hAnsi="宋体"/>
          <w:sz w:val="21"/>
          <w:szCs w:val="21"/>
          <w:u w:val="single"/>
        </w:rPr>
        <w:t xml:space="preserve">     </w:t>
      </w:r>
      <w:r>
        <w:rPr>
          <w:rFonts w:hint="eastAsia" w:hAnsi="宋体"/>
          <w:sz w:val="21"/>
          <w:szCs w:val="21"/>
        </w:rPr>
        <w:t>日起至</w:t>
      </w:r>
      <w:r>
        <w:rPr>
          <w:rFonts w:hint="eastAsia" w:hAnsi="宋体"/>
          <w:sz w:val="21"/>
          <w:szCs w:val="21"/>
          <w:u w:val="single"/>
        </w:rPr>
        <w:t xml:space="preserve">     </w:t>
      </w:r>
      <w:r>
        <w:rPr>
          <w:rFonts w:hint="eastAsia" w:hAnsi="宋体"/>
          <w:sz w:val="21"/>
          <w:szCs w:val="21"/>
        </w:rPr>
        <w:t>年</w:t>
      </w:r>
      <w:r>
        <w:rPr>
          <w:rFonts w:hint="eastAsia" w:hAnsi="宋体"/>
          <w:sz w:val="21"/>
          <w:szCs w:val="21"/>
          <w:u w:val="single"/>
        </w:rPr>
        <w:t xml:space="preserve">     </w:t>
      </w:r>
      <w:r>
        <w:rPr>
          <w:rFonts w:hint="eastAsia" w:hAnsi="宋体"/>
          <w:sz w:val="21"/>
          <w:szCs w:val="21"/>
        </w:rPr>
        <w:t>月</w:t>
      </w:r>
      <w:r>
        <w:rPr>
          <w:rFonts w:hint="eastAsia" w:hAnsi="宋体"/>
          <w:sz w:val="21"/>
          <w:szCs w:val="21"/>
          <w:u w:val="single"/>
        </w:rPr>
        <w:t xml:space="preserve">     </w:t>
      </w:r>
      <w:r>
        <w:rPr>
          <w:rFonts w:hint="eastAsia" w:hAnsi="宋体"/>
          <w:sz w:val="21"/>
          <w:szCs w:val="21"/>
        </w:rPr>
        <w:t>日止。</w:t>
      </w:r>
      <w:r>
        <w:rPr>
          <w:rFonts w:hAnsi="宋体"/>
        </w:rPr>
        <w:t>合同规定的服务期满，本合同自然终止。</w:t>
      </w:r>
    </w:p>
    <w:p w14:paraId="0806A9F4">
      <w:pPr>
        <w:pStyle w:val="9"/>
        <w:keepNext w:val="0"/>
        <w:keepLines w:val="0"/>
        <w:pageBreakBefore w:val="0"/>
        <w:widowControl w:val="0"/>
        <w:tabs>
          <w:tab w:val="left" w:pos="2472"/>
        </w:tabs>
        <w:kinsoku/>
        <w:wordWrap/>
        <w:overflowPunct/>
        <w:topLinePunct w:val="0"/>
        <w:autoSpaceDE/>
        <w:autoSpaceDN/>
        <w:bidi w:val="0"/>
        <w:adjustRightInd/>
        <w:snapToGrid/>
        <w:spacing w:beforeAutospacing="0" w:afterAutospacing="0" w:line="460" w:lineRule="exact"/>
        <w:textAlignment w:val="auto"/>
        <w:rPr>
          <w:rFonts w:hAnsi="宋体"/>
          <w:sz w:val="21"/>
          <w:szCs w:val="21"/>
        </w:rPr>
      </w:pPr>
      <w:r>
        <w:rPr>
          <w:rFonts w:hAnsi="宋体"/>
          <w:sz w:val="21"/>
          <w:szCs w:val="21"/>
        </w:rPr>
        <w:t>　　第四条　甲方的权利和义务</w:t>
      </w:r>
    </w:p>
    <w:p w14:paraId="33D1CF48">
      <w:pPr>
        <w:pStyle w:val="9"/>
        <w:keepNext w:val="0"/>
        <w:keepLines w:val="0"/>
        <w:pageBreakBefore w:val="0"/>
        <w:widowControl w:val="0"/>
        <w:tabs>
          <w:tab w:val="left" w:pos="2472"/>
        </w:tabs>
        <w:kinsoku/>
        <w:wordWrap/>
        <w:overflowPunct/>
        <w:topLinePunct w:val="0"/>
        <w:autoSpaceDE/>
        <w:autoSpaceDN/>
        <w:bidi w:val="0"/>
        <w:adjustRightInd/>
        <w:snapToGrid/>
        <w:spacing w:beforeAutospacing="0" w:afterAutospacing="0" w:line="460" w:lineRule="exact"/>
        <w:textAlignment w:val="auto"/>
        <w:rPr>
          <w:rFonts w:hint="eastAsia" w:hAnsi="宋体"/>
          <w:sz w:val="21"/>
          <w:szCs w:val="21"/>
        </w:rPr>
      </w:pPr>
      <w:r>
        <w:rPr>
          <w:rFonts w:hAnsi="宋体"/>
          <w:sz w:val="21"/>
          <w:szCs w:val="21"/>
        </w:rPr>
        <w:t>　　</w:t>
      </w:r>
      <w:r>
        <w:rPr>
          <w:rFonts w:hint="eastAsia" w:hAnsi="宋体"/>
          <w:sz w:val="21"/>
          <w:szCs w:val="21"/>
        </w:rPr>
        <w:t>1</w:t>
      </w:r>
      <w:r>
        <w:rPr>
          <w:rFonts w:hAnsi="宋体"/>
          <w:sz w:val="21"/>
          <w:szCs w:val="21"/>
        </w:rPr>
        <w:t>.对乙方的管理实施监督检查，</w:t>
      </w:r>
      <w:r>
        <w:rPr>
          <w:rFonts w:hint="eastAsia" w:hAnsi="宋体"/>
          <w:sz w:val="21"/>
          <w:szCs w:val="21"/>
          <w:lang w:val="en-US" w:eastAsia="zh-CN"/>
        </w:rPr>
        <w:t xml:space="preserve"> </w:t>
      </w:r>
      <w:r>
        <w:rPr>
          <w:rFonts w:hAnsi="宋体"/>
          <w:sz w:val="21"/>
          <w:szCs w:val="21"/>
        </w:rPr>
        <w:t>全面进行考核评定，如因乙方管理不善，造成重大经济损失或管理失误，有权终止合同</w:t>
      </w:r>
      <w:r>
        <w:rPr>
          <w:rFonts w:hint="eastAsia" w:hAnsi="宋体"/>
          <w:sz w:val="21"/>
          <w:szCs w:val="21"/>
        </w:rPr>
        <w:t>，同时甲方有权追偿由此产生的损失费用</w:t>
      </w:r>
      <w:r>
        <w:rPr>
          <w:rFonts w:hAnsi="宋体"/>
          <w:sz w:val="21"/>
          <w:szCs w:val="21"/>
        </w:rPr>
        <w:t>;</w:t>
      </w:r>
    </w:p>
    <w:p w14:paraId="49C10248">
      <w:pPr>
        <w:pStyle w:val="9"/>
        <w:keepNext w:val="0"/>
        <w:keepLines w:val="0"/>
        <w:pageBreakBefore w:val="0"/>
        <w:widowControl w:val="0"/>
        <w:tabs>
          <w:tab w:val="left" w:pos="2472"/>
        </w:tabs>
        <w:kinsoku/>
        <w:wordWrap/>
        <w:overflowPunct/>
        <w:topLinePunct w:val="0"/>
        <w:autoSpaceDE/>
        <w:autoSpaceDN/>
        <w:bidi w:val="0"/>
        <w:adjustRightInd/>
        <w:snapToGrid/>
        <w:spacing w:beforeAutospacing="0" w:afterAutospacing="0" w:line="460" w:lineRule="exact"/>
        <w:textAlignment w:val="auto"/>
        <w:rPr>
          <w:rFonts w:hAnsi="宋体"/>
          <w:sz w:val="21"/>
          <w:szCs w:val="21"/>
        </w:rPr>
      </w:pPr>
      <w:r>
        <w:rPr>
          <w:rFonts w:hAnsi="宋体"/>
          <w:sz w:val="21"/>
          <w:szCs w:val="21"/>
        </w:rPr>
        <w:t>　　</w:t>
      </w:r>
      <w:r>
        <w:rPr>
          <w:rFonts w:hint="eastAsia" w:hAnsi="宋体"/>
          <w:sz w:val="21"/>
          <w:szCs w:val="21"/>
        </w:rPr>
        <w:t>2.</w:t>
      </w:r>
      <w:r>
        <w:rPr>
          <w:rFonts w:hAnsi="宋体"/>
          <w:sz w:val="21"/>
          <w:szCs w:val="21"/>
        </w:rPr>
        <w:t>法规政策规定由甲方承担的其他责任。</w:t>
      </w:r>
    </w:p>
    <w:p w14:paraId="75B0063C">
      <w:pPr>
        <w:pStyle w:val="9"/>
        <w:keepNext w:val="0"/>
        <w:keepLines w:val="0"/>
        <w:pageBreakBefore w:val="0"/>
        <w:widowControl w:val="0"/>
        <w:tabs>
          <w:tab w:val="left" w:pos="2472"/>
        </w:tabs>
        <w:kinsoku/>
        <w:wordWrap/>
        <w:overflowPunct/>
        <w:topLinePunct w:val="0"/>
        <w:autoSpaceDE/>
        <w:autoSpaceDN/>
        <w:bidi w:val="0"/>
        <w:adjustRightInd/>
        <w:snapToGrid/>
        <w:spacing w:beforeAutospacing="0" w:afterAutospacing="0" w:line="460" w:lineRule="exact"/>
        <w:textAlignment w:val="auto"/>
        <w:rPr>
          <w:rFonts w:hAnsi="宋体"/>
          <w:sz w:val="21"/>
          <w:szCs w:val="21"/>
        </w:rPr>
      </w:pPr>
      <w:r>
        <w:rPr>
          <w:rFonts w:hAnsi="宋体"/>
          <w:sz w:val="21"/>
          <w:szCs w:val="21"/>
        </w:rPr>
        <w:t>　　第五条　乙方的权利和义务</w:t>
      </w:r>
    </w:p>
    <w:p w14:paraId="3FC08339">
      <w:pPr>
        <w:pStyle w:val="9"/>
        <w:keepNext w:val="0"/>
        <w:keepLines w:val="0"/>
        <w:pageBreakBefore w:val="0"/>
        <w:widowControl w:val="0"/>
        <w:tabs>
          <w:tab w:val="left" w:pos="2472"/>
        </w:tabs>
        <w:kinsoku/>
        <w:wordWrap/>
        <w:overflowPunct/>
        <w:topLinePunct w:val="0"/>
        <w:autoSpaceDE/>
        <w:autoSpaceDN/>
        <w:bidi w:val="0"/>
        <w:adjustRightInd/>
        <w:snapToGrid/>
        <w:spacing w:beforeAutospacing="0" w:afterAutospacing="0" w:line="460" w:lineRule="exact"/>
        <w:textAlignment w:val="auto"/>
        <w:rPr>
          <w:rFonts w:hAnsi="宋体"/>
          <w:sz w:val="21"/>
          <w:szCs w:val="21"/>
        </w:rPr>
      </w:pPr>
      <w:r>
        <w:rPr>
          <w:rFonts w:hAnsi="宋体"/>
          <w:sz w:val="21"/>
          <w:szCs w:val="21"/>
        </w:rPr>
        <w:t>　　1.根据有关法律、法规政策及本合同的规定，制订各项管理办法、规章制度、实施细则，自主开展各项管理经营活动，但不得损害</w:t>
      </w:r>
      <w:r>
        <w:rPr>
          <w:rFonts w:hint="eastAsia" w:hAnsi="宋体"/>
          <w:sz w:val="21"/>
          <w:szCs w:val="21"/>
        </w:rPr>
        <w:t>甲方</w:t>
      </w:r>
      <w:r>
        <w:rPr>
          <w:rFonts w:hAnsi="宋体"/>
          <w:sz w:val="21"/>
          <w:szCs w:val="21"/>
        </w:rPr>
        <w:t>的合法权益，获取不当利益。</w:t>
      </w:r>
    </w:p>
    <w:p w14:paraId="4ADEFE3E">
      <w:pPr>
        <w:pStyle w:val="9"/>
        <w:keepNext w:val="0"/>
        <w:keepLines w:val="0"/>
        <w:pageBreakBefore w:val="0"/>
        <w:widowControl w:val="0"/>
        <w:tabs>
          <w:tab w:val="left" w:pos="2472"/>
        </w:tabs>
        <w:kinsoku/>
        <w:wordWrap/>
        <w:overflowPunct/>
        <w:topLinePunct w:val="0"/>
        <w:autoSpaceDE/>
        <w:autoSpaceDN/>
        <w:bidi w:val="0"/>
        <w:adjustRightInd/>
        <w:snapToGrid/>
        <w:spacing w:beforeAutospacing="0" w:afterAutospacing="0" w:line="460" w:lineRule="exact"/>
        <w:textAlignment w:val="auto"/>
        <w:rPr>
          <w:rFonts w:hAnsi="宋体"/>
          <w:sz w:val="21"/>
          <w:szCs w:val="21"/>
        </w:rPr>
      </w:pPr>
      <w:r>
        <w:rPr>
          <w:rFonts w:hAnsi="宋体"/>
          <w:sz w:val="21"/>
          <w:szCs w:val="21"/>
        </w:rPr>
        <w:t>　　</w:t>
      </w:r>
      <w:r>
        <w:rPr>
          <w:rFonts w:hint="eastAsia" w:hAnsi="宋体"/>
          <w:sz w:val="21"/>
          <w:szCs w:val="21"/>
        </w:rPr>
        <w:t>2</w:t>
      </w:r>
      <w:r>
        <w:rPr>
          <w:rFonts w:hAnsi="宋体"/>
          <w:sz w:val="21"/>
          <w:szCs w:val="21"/>
        </w:rPr>
        <w:t>.接受主管部门及有关政府部门的监督、指导，并接受甲方的监督;</w:t>
      </w:r>
    </w:p>
    <w:p w14:paraId="19AC9AF9">
      <w:pPr>
        <w:pStyle w:val="9"/>
        <w:keepNext w:val="0"/>
        <w:keepLines w:val="0"/>
        <w:pageBreakBefore w:val="0"/>
        <w:widowControl w:val="0"/>
        <w:tabs>
          <w:tab w:val="left" w:pos="2472"/>
        </w:tabs>
        <w:kinsoku/>
        <w:wordWrap/>
        <w:overflowPunct/>
        <w:topLinePunct w:val="0"/>
        <w:autoSpaceDE/>
        <w:autoSpaceDN/>
        <w:bidi w:val="0"/>
        <w:adjustRightInd/>
        <w:snapToGrid/>
        <w:spacing w:beforeAutospacing="0" w:afterAutospacing="0" w:line="460" w:lineRule="exact"/>
        <w:textAlignment w:val="auto"/>
        <w:rPr>
          <w:rFonts w:hAnsi="宋体"/>
          <w:sz w:val="21"/>
          <w:szCs w:val="21"/>
        </w:rPr>
      </w:pPr>
      <w:r>
        <w:rPr>
          <w:rFonts w:hAnsi="宋体"/>
          <w:sz w:val="21"/>
          <w:szCs w:val="21"/>
        </w:rPr>
        <w:t>　　</w:t>
      </w:r>
      <w:r>
        <w:rPr>
          <w:rFonts w:hint="eastAsia" w:hAnsi="宋体"/>
          <w:sz w:val="21"/>
          <w:szCs w:val="21"/>
        </w:rPr>
        <w:t>3</w:t>
      </w:r>
      <w:r>
        <w:rPr>
          <w:rFonts w:hAnsi="宋体"/>
          <w:sz w:val="21"/>
          <w:szCs w:val="21"/>
        </w:rPr>
        <w:t>.对本</w:t>
      </w:r>
      <w:r>
        <w:rPr>
          <w:rFonts w:hint="eastAsia" w:hAnsi="宋体"/>
          <w:sz w:val="21"/>
          <w:szCs w:val="21"/>
        </w:rPr>
        <w:t>打捞点</w:t>
      </w:r>
      <w:r>
        <w:rPr>
          <w:rFonts w:hAnsi="宋体"/>
          <w:sz w:val="21"/>
          <w:szCs w:val="21"/>
        </w:rPr>
        <w:t>的公用设施不得擅自占用和改变使用功能;</w:t>
      </w:r>
    </w:p>
    <w:p w14:paraId="5821AE29">
      <w:pPr>
        <w:pStyle w:val="9"/>
        <w:keepNext w:val="0"/>
        <w:keepLines w:val="0"/>
        <w:pageBreakBefore w:val="0"/>
        <w:widowControl w:val="0"/>
        <w:tabs>
          <w:tab w:val="left" w:pos="2472"/>
        </w:tabs>
        <w:kinsoku/>
        <w:wordWrap/>
        <w:overflowPunct/>
        <w:topLinePunct w:val="0"/>
        <w:autoSpaceDE/>
        <w:autoSpaceDN/>
        <w:bidi w:val="0"/>
        <w:adjustRightInd/>
        <w:snapToGrid/>
        <w:spacing w:beforeAutospacing="0" w:afterAutospacing="0" w:line="460" w:lineRule="exact"/>
        <w:textAlignment w:val="auto"/>
        <w:rPr>
          <w:rFonts w:hAnsi="宋体"/>
          <w:sz w:val="21"/>
          <w:szCs w:val="21"/>
        </w:rPr>
      </w:pPr>
      <w:r>
        <w:rPr>
          <w:rFonts w:hAnsi="宋体"/>
          <w:sz w:val="21"/>
          <w:szCs w:val="21"/>
        </w:rPr>
        <w:t>　　第六条　管理目标</w:t>
      </w:r>
    </w:p>
    <w:p w14:paraId="5B10C86C">
      <w:pPr>
        <w:pStyle w:val="9"/>
        <w:keepNext w:val="0"/>
        <w:keepLines w:val="0"/>
        <w:pageBreakBefore w:val="0"/>
        <w:widowControl w:val="0"/>
        <w:tabs>
          <w:tab w:val="left" w:pos="2472"/>
        </w:tabs>
        <w:kinsoku/>
        <w:wordWrap/>
        <w:overflowPunct/>
        <w:topLinePunct w:val="0"/>
        <w:autoSpaceDE/>
        <w:autoSpaceDN/>
        <w:bidi w:val="0"/>
        <w:adjustRightInd/>
        <w:snapToGrid/>
        <w:spacing w:beforeAutospacing="0" w:afterAutospacing="0" w:line="460" w:lineRule="exact"/>
        <w:textAlignment w:val="auto"/>
        <w:rPr>
          <w:rFonts w:hAnsi="宋体"/>
          <w:sz w:val="21"/>
          <w:szCs w:val="21"/>
        </w:rPr>
      </w:pPr>
      <w:r>
        <w:rPr>
          <w:rFonts w:hAnsi="宋体"/>
          <w:sz w:val="21"/>
          <w:szCs w:val="21"/>
        </w:rPr>
        <w:t>　</w:t>
      </w:r>
      <w:r>
        <w:rPr>
          <w:rFonts w:hint="eastAsia" w:hAnsi="宋体"/>
          <w:sz w:val="21"/>
          <w:szCs w:val="21"/>
        </w:rPr>
        <w:t xml:space="preserve">  管理服务总体要求：</w:t>
      </w:r>
      <w:r>
        <w:rPr>
          <w:rFonts w:hint="eastAsia" w:hAnsi="宋体"/>
          <w:bCs/>
          <w:sz w:val="21"/>
          <w:szCs w:val="21"/>
          <w:u w:val="single"/>
        </w:rPr>
        <w:t xml:space="preserve"> 详见招标文件招标需求 </w:t>
      </w:r>
      <w:r>
        <w:rPr>
          <w:rFonts w:hint="eastAsia" w:hAnsi="宋体"/>
          <w:sz w:val="21"/>
          <w:szCs w:val="21"/>
        </w:rPr>
        <w:t>。</w:t>
      </w:r>
    </w:p>
    <w:p w14:paraId="7C9028EB">
      <w:pPr>
        <w:pStyle w:val="9"/>
        <w:keepNext w:val="0"/>
        <w:keepLines w:val="0"/>
        <w:pageBreakBefore w:val="0"/>
        <w:widowControl w:val="0"/>
        <w:tabs>
          <w:tab w:val="left" w:pos="2472"/>
        </w:tabs>
        <w:kinsoku/>
        <w:wordWrap/>
        <w:overflowPunct/>
        <w:topLinePunct w:val="0"/>
        <w:autoSpaceDE/>
        <w:autoSpaceDN/>
        <w:bidi w:val="0"/>
        <w:adjustRightInd/>
        <w:snapToGrid/>
        <w:spacing w:beforeAutospacing="0" w:afterAutospacing="0" w:line="460" w:lineRule="exact"/>
        <w:textAlignment w:val="auto"/>
        <w:rPr>
          <w:rFonts w:hAnsi="宋体"/>
          <w:sz w:val="21"/>
          <w:szCs w:val="21"/>
        </w:rPr>
      </w:pPr>
      <w:r>
        <w:rPr>
          <w:rFonts w:hAnsi="宋体"/>
          <w:sz w:val="21"/>
          <w:szCs w:val="21"/>
        </w:rPr>
        <w:t>　　第七条　服务费用</w:t>
      </w:r>
    </w:p>
    <w:p w14:paraId="1855F4D5">
      <w:pPr>
        <w:pStyle w:val="9"/>
        <w:keepNext w:val="0"/>
        <w:keepLines w:val="0"/>
        <w:pageBreakBefore w:val="0"/>
        <w:widowControl w:val="0"/>
        <w:tabs>
          <w:tab w:val="left" w:pos="2472"/>
        </w:tabs>
        <w:kinsoku/>
        <w:wordWrap/>
        <w:overflowPunct/>
        <w:topLinePunct w:val="0"/>
        <w:autoSpaceDE/>
        <w:autoSpaceDN/>
        <w:bidi w:val="0"/>
        <w:adjustRightInd/>
        <w:snapToGrid/>
        <w:spacing w:beforeAutospacing="0" w:afterAutospacing="0" w:line="460" w:lineRule="exact"/>
        <w:ind w:left="405"/>
        <w:textAlignment w:val="auto"/>
        <w:rPr>
          <w:rFonts w:hint="eastAsia" w:hAnsi="宋体"/>
          <w:sz w:val="21"/>
          <w:szCs w:val="21"/>
        </w:rPr>
      </w:pPr>
      <w:r>
        <w:rPr>
          <w:rFonts w:hint="eastAsia" w:hAnsi="宋体"/>
          <w:sz w:val="21"/>
          <w:szCs w:val="21"/>
        </w:rPr>
        <w:t>1、服务费暂定</w:t>
      </w:r>
      <w:r>
        <w:rPr>
          <w:rFonts w:hint="eastAsia" w:hAnsi="宋体"/>
          <w:sz w:val="21"/>
          <w:szCs w:val="21"/>
          <w:u w:val="single"/>
        </w:rPr>
        <w:t xml:space="preserve">               </w:t>
      </w:r>
      <w:r>
        <w:rPr>
          <w:rFonts w:hint="eastAsia" w:hAnsi="宋体"/>
          <w:sz w:val="21"/>
          <w:szCs w:val="21"/>
        </w:rPr>
        <w:t xml:space="preserve">元，服务费组成以中标人投标文件为准。 </w:t>
      </w:r>
    </w:p>
    <w:p w14:paraId="5F3126E6">
      <w:pPr>
        <w:keepNext w:val="0"/>
        <w:keepLines w:val="0"/>
        <w:pageBreakBefore w:val="0"/>
        <w:widowControl w:val="0"/>
        <w:kinsoku/>
        <w:wordWrap/>
        <w:overflowPunct/>
        <w:topLinePunct w:val="0"/>
        <w:autoSpaceDE/>
        <w:autoSpaceDN/>
        <w:bidi w:val="0"/>
        <w:adjustRightInd/>
        <w:snapToGrid/>
        <w:spacing w:beforeAutospacing="0" w:line="460" w:lineRule="exact"/>
        <w:ind w:firstLine="420"/>
        <w:textAlignment w:val="auto"/>
        <w:rPr>
          <w:rFonts w:hint="eastAsia" w:ascii="宋体" w:hAnsi="宋体"/>
          <w:sz w:val="21"/>
          <w:szCs w:val="21"/>
        </w:rPr>
      </w:pPr>
      <w:r>
        <w:rPr>
          <w:rFonts w:hint="eastAsia" w:ascii="宋体" w:hAnsi="宋体"/>
          <w:sz w:val="21"/>
          <w:szCs w:val="21"/>
        </w:rPr>
        <w:t>2、本项目履约保证金为：履约保证金的缴纳方式：以现金（转账）或者投标人基本账户缴纳的担保机构保函、保险机构保单等非现金交易担保方式，履约保证金的金额：中标价的10%，履约保证金的退还：服务期满后7日内无息退还。鼓励采购人对AA评级及以上政府采购供应商（需提供信用管理部门备案的第三方信用报告），免收履约保证金或降低履约保证金缴纳比例。合同签订后15日内项目组成人员及设备全部配备到位，如未按时到位履约保证金不予退还，招标人将重新招标。</w:t>
      </w:r>
      <w:r>
        <w:rPr>
          <w:rFonts w:ascii="Segoe UI" w:hAnsi="Segoe UI" w:eastAsia="Segoe UI" w:cs="Segoe UI"/>
          <w:i w:val="0"/>
          <w:iCs w:val="0"/>
          <w:caps w:val="0"/>
          <w:spacing w:val="0"/>
          <w:sz w:val="21"/>
          <w:szCs w:val="21"/>
          <w:shd w:val="clear" w:color="auto" w:fill="FFFFFF"/>
        </w:rPr>
        <w:t>根据盐财购〔2024〕18号 关于在全市政府采购领域进一步推行电子履约保函（保险）的通知。可以通过政府采购电子履约保函（保险）平台（www.jsdzbh.com）在线申请履约保函（保险）。</w:t>
      </w:r>
    </w:p>
    <w:p w14:paraId="2CDE6B18">
      <w:pPr>
        <w:keepNext w:val="0"/>
        <w:keepLines w:val="0"/>
        <w:pageBreakBefore w:val="0"/>
        <w:widowControl w:val="0"/>
        <w:kinsoku/>
        <w:wordWrap/>
        <w:overflowPunct/>
        <w:topLinePunct w:val="0"/>
        <w:autoSpaceDE/>
        <w:autoSpaceDN/>
        <w:bidi w:val="0"/>
        <w:adjustRightInd/>
        <w:snapToGrid/>
        <w:spacing w:line="460" w:lineRule="exact"/>
        <w:ind w:firstLine="422"/>
        <w:textAlignment w:val="auto"/>
        <w:rPr>
          <w:rFonts w:hint="eastAsia" w:ascii="宋体" w:hAnsi="宋体" w:cs="宋体"/>
          <w:b/>
          <w:bCs/>
          <w:sz w:val="21"/>
          <w:szCs w:val="21"/>
          <w:highlight w:val="none"/>
        </w:rPr>
      </w:pPr>
      <w:r>
        <w:rPr>
          <w:rFonts w:hint="eastAsia" w:ascii="宋体" w:hAnsi="宋体"/>
          <w:b/>
          <w:bCs/>
          <w:sz w:val="21"/>
          <w:szCs w:val="21"/>
          <w:highlight w:val="none"/>
        </w:rPr>
        <w:t>3、</w:t>
      </w:r>
      <w:r>
        <w:rPr>
          <w:rFonts w:ascii="宋体" w:hAnsi="宋体"/>
          <w:b/>
          <w:bCs/>
          <w:sz w:val="21"/>
          <w:szCs w:val="21"/>
          <w:highlight w:val="none"/>
        </w:rPr>
        <w:t>服务</w:t>
      </w:r>
      <w:r>
        <w:rPr>
          <w:rFonts w:hint="eastAsia" w:ascii="宋体" w:hAnsi="宋体"/>
          <w:b/>
          <w:bCs/>
          <w:sz w:val="21"/>
          <w:szCs w:val="21"/>
          <w:highlight w:val="none"/>
        </w:rPr>
        <w:t>费</w:t>
      </w:r>
      <w:r>
        <w:rPr>
          <w:rFonts w:ascii="宋体" w:hAnsi="宋体"/>
          <w:b/>
          <w:bCs/>
          <w:sz w:val="21"/>
          <w:szCs w:val="21"/>
          <w:highlight w:val="none"/>
        </w:rPr>
        <w:t>支付方式：</w:t>
      </w:r>
      <w:r>
        <w:rPr>
          <w:rFonts w:hint="eastAsia" w:ascii="宋体" w:hAnsi="宋体" w:cs="宋体"/>
          <w:b/>
          <w:bCs/>
          <w:sz w:val="21"/>
          <w:szCs w:val="21"/>
          <w:highlight w:val="none"/>
        </w:rPr>
        <w:t>根据招标需求，甲方依据考核细则的考核结果经审计后支付服务费，审计单位由建设单位落实委派，费用由</w:t>
      </w:r>
      <w:r>
        <w:rPr>
          <w:rFonts w:hint="eastAsia" w:ascii="宋体" w:hAnsi="宋体" w:cs="宋体"/>
          <w:b/>
          <w:bCs/>
          <w:sz w:val="21"/>
          <w:szCs w:val="21"/>
          <w:highlight w:val="none"/>
          <w:lang w:val="en-US" w:eastAsia="zh-CN"/>
        </w:rPr>
        <w:t>建设</w:t>
      </w:r>
      <w:r>
        <w:rPr>
          <w:rFonts w:hint="eastAsia" w:ascii="宋体" w:hAnsi="宋体" w:cs="宋体"/>
          <w:b/>
          <w:bCs/>
          <w:sz w:val="21"/>
          <w:szCs w:val="21"/>
          <w:highlight w:val="none"/>
        </w:rPr>
        <w:t>单位支付。具体详见考核细则。</w:t>
      </w:r>
    </w:p>
    <w:p w14:paraId="3B169000">
      <w:pPr>
        <w:pStyle w:val="9"/>
        <w:keepNext w:val="0"/>
        <w:keepLines w:val="0"/>
        <w:pageBreakBefore w:val="0"/>
        <w:widowControl w:val="0"/>
        <w:tabs>
          <w:tab w:val="left" w:pos="2472"/>
        </w:tabs>
        <w:kinsoku/>
        <w:wordWrap/>
        <w:overflowPunct/>
        <w:topLinePunct w:val="0"/>
        <w:autoSpaceDE/>
        <w:autoSpaceDN/>
        <w:bidi w:val="0"/>
        <w:adjustRightInd/>
        <w:snapToGrid/>
        <w:spacing w:beforeAutospacing="0" w:afterAutospacing="0" w:line="460" w:lineRule="exact"/>
        <w:ind w:firstLine="422" w:firstLineChars="200"/>
        <w:textAlignment w:val="auto"/>
        <w:rPr>
          <w:rFonts w:hint="eastAsia" w:hAnsi="宋体"/>
          <w:sz w:val="21"/>
          <w:szCs w:val="21"/>
          <w:highlight w:val="none"/>
        </w:rPr>
      </w:pPr>
      <w:r>
        <w:rPr>
          <w:rFonts w:hint="eastAsia" w:ascii="宋体" w:hAnsi="宋体" w:cs="宋体"/>
          <w:b/>
          <w:bCs/>
          <w:sz w:val="21"/>
          <w:szCs w:val="21"/>
          <w:highlight w:val="none"/>
        </w:rPr>
        <w:t>付款进度和方式：合同签订后，乙方须提供税务发票后一个月内支付合同价款的</w:t>
      </w:r>
      <w:r>
        <w:rPr>
          <w:rFonts w:hint="eastAsia" w:hAnsi="宋体" w:cs="宋体"/>
          <w:b/>
          <w:bCs/>
          <w:sz w:val="21"/>
          <w:szCs w:val="21"/>
          <w:highlight w:val="none"/>
          <w:lang w:val="en-US" w:eastAsia="zh-CN"/>
        </w:rPr>
        <w:t>3</w:t>
      </w:r>
      <w:r>
        <w:rPr>
          <w:rFonts w:hint="eastAsia" w:ascii="宋体" w:hAnsi="宋体" w:cs="宋体"/>
          <w:b/>
          <w:bCs/>
          <w:sz w:val="21"/>
          <w:szCs w:val="21"/>
          <w:highlight w:val="none"/>
        </w:rPr>
        <w:t>0%的预付款（待上级补助资金到位后拨付预付款）；服务期满考核后付至审计金额的90%，服务期满当年年底付清余款（待上级补助资金到位后拨付预付款）。（以上付款无利息补偿）</w:t>
      </w:r>
      <w:r>
        <w:rPr>
          <w:rFonts w:hint="eastAsia" w:hAnsi="宋体"/>
          <w:sz w:val="21"/>
          <w:szCs w:val="21"/>
          <w:highlight w:val="none"/>
        </w:rPr>
        <w:t xml:space="preserve"> </w:t>
      </w:r>
    </w:p>
    <w:p w14:paraId="4BDE8772">
      <w:pPr>
        <w:pStyle w:val="9"/>
        <w:keepNext w:val="0"/>
        <w:keepLines w:val="0"/>
        <w:pageBreakBefore w:val="0"/>
        <w:widowControl w:val="0"/>
        <w:tabs>
          <w:tab w:val="left" w:pos="2472"/>
        </w:tabs>
        <w:kinsoku/>
        <w:wordWrap/>
        <w:overflowPunct/>
        <w:topLinePunct w:val="0"/>
        <w:autoSpaceDE/>
        <w:autoSpaceDN/>
        <w:bidi w:val="0"/>
        <w:adjustRightInd/>
        <w:snapToGrid/>
        <w:spacing w:beforeAutospacing="0" w:afterAutospacing="0" w:line="460" w:lineRule="exact"/>
        <w:ind w:firstLine="420" w:firstLineChars="200"/>
        <w:textAlignment w:val="auto"/>
        <w:rPr>
          <w:rFonts w:hAnsi="宋体"/>
          <w:sz w:val="21"/>
          <w:szCs w:val="21"/>
          <w:highlight w:val="none"/>
        </w:rPr>
      </w:pPr>
      <w:r>
        <w:rPr>
          <w:rFonts w:hAnsi="宋体"/>
          <w:sz w:val="21"/>
          <w:szCs w:val="21"/>
          <w:highlight w:val="none"/>
        </w:rPr>
        <w:t>第</w:t>
      </w:r>
      <w:r>
        <w:rPr>
          <w:rFonts w:hint="eastAsia" w:hAnsi="宋体"/>
          <w:sz w:val="21"/>
          <w:szCs w:val="21"/>
          <w:highlight w:val="none"/>
        </w:rPr>
        <w:t>八</w:t>
      </w:r>
      <w:r>
        <w:rPr>
          <w:rFonts w:hAnsi="宋体"/>
          <w:sz w:val="21"/>
          <w:szCs w:val="21"/>
          <w:highlight w:val="none"/>
        </w:rPr>
        <w:t>条　违约责任</w:t>
      </w:r>
    </w:p>
    <w:p w14:paraId="3E4522BC">
      <w:pPr>
        <w:pStyle w:val="9"/>
        <w:keepNext w:val="0"/>
        <w:keepLines w:val="0"/>
        <w:pageBreakBefore w:val="0"/>
        <w:widowControl w:val="0"/>
        <w:tabs>
          <w:tab w:val="left" w:pos="2472"/>
        </w:tabs>
        <w:kinsoku/>
        <w:wordWrap/>
        <w:overflowPunct/>
        <w:topLinePunct w:val="0"/>
        <w:autoSpaceDE/>
        <w:autoSpaceDN/>
        <w:bidi w:val="0"/>
        <w:adjustRightInd/>
        <w:snapToGrid/>
        <w:spacing w:beforeAutospacing="0" w:afterAutospacing="0" w:line="460" w:lineRule="exact"/>
        <w:textAlignment w:val="auto"/>
        <w:rPr>
          <w:rFonts w:hAnsi="宋体"/>
          <w:sz w:val="21"/>
          <w:szCs w:val="21"/>
        </w:rPr>
      </w:pPr>
      <w:r>
        <w:rPr>
          <w:rFonts w:hAnsi="宋体"/>
          <w:sz w:val="21"/>
          <w:szCs w:val="21"/>
          <w:highlight w:val="none"/>
        </w:rPr>
        <w:t>　　</w:t>
      </w:r>
      <w:r>
        <w:rPr>
          <w:rFonts w:hint="eastAsia" w:hAnsi="宋体"/>
          <w:sz w:val="21"/>
          <w:szCs w:val="21"/>
          <w:highlight w:val="none"/>
        </w:rPr>
        <w:t>1</w:t>
      </w:r>
      <w:r>
        <w:rPr>
          <w:rFonts w:hAnsi="宋体"/>
          <w:sz w:val="21"/>
          <w:szCs w:val="21"/>
          <w:highlight w:val="none"/>
        </w:rPr>
        <w:t>.如因乙方原因，造成不能完成管理目标或直接造成甲方经济损失的，乙方应给予甲方</w:t>
      </w:r>
      <w:r>
        <w:rPr>
          <w:rFonts w:hAnsi="宋体"/>
          <w:sz w:val="21"/>
          <w:szCs w:val="21"/>
        </w:rPr>
        <w:t>相应补偿。甲方有权要求乙方限期整改，并有权终止合同。</w:t>
      </w:r>
    </w:p>
    <w:p w14:paraId="49AF19F6">
      <w:pPr>
        <w:pStyle w:val="9"/>
        <w:keepNext w:val="0"/>
        <w:keepLines w:val="0"/>
        <w:pageBreakBefore w:val="0"/>
        <w:widowControl w:val="0"/>
        <w:tabs>
          <w:tab w:val="left" w:pos="2472"/>
        </w:tabs>
        <w:kinsoku/>
        <w:wordWrap/>
        <w:overflowPunct/>
        <w:topLinePunct w:val="0"/>
        <w:autoSpaceDE/>
        <w:autoSpaceDN/>
        <w:bidi w:val="0"/>
        <w:adjustRightInd/>
        <w:snapToGrid/>
        <w:spacing w:beforeAutospacing="0" w:afterAutospacing="0" w:line="460" w:lineRule="exact"/>
        <w:ind w:firstLine="420"/>
        <w:textAlignment w:val="auto"/>
        <w:rPr>
          <w:rFonts w:hint="eastAsia" w:hAnsi="宋体"/>
          <w:sz w:val="21"/>
          <w:szCs w:val="21"/>
        </w:rPr>
      </w:pPr>
      <w:r>
        <w:rPr>
          <w:rFonts w:hint="eastAsia" w:hAnsi="宋体"/>
          <w:sz w:val="21"/>
          <w:szCs w:val="21"/>
        </w:rPr>
        <w:t>2</w:t>
      </w:r>
      <w:r>
        <w:rPr>
          <w:rFonts w:hAnsi="宋体"/>
          <w:sz w:val="21"/>
          <w:szCs w:val="21"/>
        </w:rPr>
        <w:t>.因乙方管理不善或操作不当等原因造成重大事故的</w:t>
      </w:r>
      <w:r>
        <w:rPr>
          <w:rFonts w:hint="eastAsia" w:hAnsi="宋体"/>
          <w:sz w:val="21"/>
          <w:szCs w:val="21"/>
        </w:rPr>
        <w:t xml:space="preserve"> </w:t>
      </w:r>
      <w:r>
        <w:rPr>
          <w:rFonts w:hAnsi="宋体"/>
          <w:sz w:val="21"/>
          <w:szCs w:val="21"/>
        </w:rPr>
        <w:t>，由乙方承担责任并负责善后处理。</w:t>
      </w:r>
      <w:r>
        <w:rPr>
          <w:rFonts w:hint="eastAsia" w:hAnsi="宋体"/>
          <w:sz w:val="21"/>
          <w:szCs w:val="21"/>
          <w:lang w:eastAsia="zh-CN"/>
        </w:rPr>
        <w:t>（</w:t>
      </w:r>
      <w:r>
        <w:rPr>
          <w:rFonts w:hAnsi="宋体"/>
          <w:sz w:val="21"/>
          <w:szCs w:val="21"/>
        </w:rPr>
        <w:t>产生事故的直接原因，以政府有关部门的鉴定结论为准</w:t>
      </w:r>
      <w:r>
        <w:rPr>
          <w:rFonts w:hint="eastAsia" w:hAnsi="宋体"/>
          <w:sz w:val="21"/>
          <w:szCs w:val="21"/>
          <w:lang w:eastAsia="zh-CN"/>
        </w:rPr>
        <w:t>）</w:t>
      </w:r>
      <w:r>
        <w:rPr>
          <w:rFonts w:hint="eastAsia" w:hAnsi="宋体"/>
          <w:sz w:val="21"/>
          <w:szCs w:val="21"/>
        </w:rPr>
        <w:t>。</w:t>
      </w:r>
    </w:p>
    <w:p w14:paraId="5A93453D">
      <w:pPr>
        <w:pStyle w:val="9"/>
        <w:keepNext w:val="0"/>
        <w:keepLines w:val="0"/>
        <w:pageBreakBefore w:val="0"/>
        <w:widowControl w:val="0"/>
        <w:tabs>
          <w:tab w:val="left" w:pos="2472"/>
        </w:tabs>
        <w:kinsoku/>
        <w:wordWrap/>
        <w:overflowPunct/>
        <w:topLinePunct w:val="0"/>
        <w:autoSpaceDE/>
        <w:autoSpaceDN/>
        <w:bidi w:val="0"/>
        <w:adjustRightInd/>
        <w:snapToGrid/>
        <w:spacing w:beforeAutospacing="0" w:afterAutospacing="0" w:line="460" w:lineRule="exact"/>
        <w:ind w:firstLine="420"/>
        <w:textAlignment w:val="auto"/>
        <w:rPr>
          <w:rFonts w:hint="eastAsia" w:hAnsi="宋体"/>
          <w:sz w:val="21"/>
          <w:szCs w:val="21"/>
        </w:rPr>
      </w:pPr>
      <w:r>
        <w:rPr>
          <w:rFonts w:hint="eastAsia" w:hAnsi="宋体"/>
          <w:sz w:val="21"/>
          <w:szCs w:val="21"/>
        </w:rPr>
        <w:t>3、不经甲方同意，中标人不得在管理区域内自主生产或经营管理服务之外的任何项目，如若发生，</w:t>
      </w:r>
      <w:r>
        <w:rPr>
          <w:rFonts w:hAnsi="宋体"/>
          <w:sz w:val="21"/>
          <w:szCs w:val="21"/>
        </w:rPr>
        <w:t>甲方有权要求乙方限期整改，并有权终止合同</w:t>
      </w:r>
      <w:r>
        <w:rPr>
          <w:rFonts w:hint="eastAsia" w:hAnsi="宋体"/>
          <w:sz w:val="21"/>
          <w:szCs w:val="21"/>
        </w:rPr>
        <w:t>，没收履约保证金。</w:t>
      </w:r>
    </w:p>
    <w:p w14:paraId="1A4AF71D">
      <w:pPr>
        <w:pStyle w:val="9"/>
        <w:keepNext w:val="0"/>
        <w:keepLines w:val="0"/>
        <w:pageBreakBefore w:val="0"/>
        <w:widowControl w:val="0"/>
        <w:tabs>
          <w:tab w:val="left" w:pos="2472"/>
        </w:tabs>
        <w:kinsoku/>
        <w:wordWrap/>
        <w:overflowPunct/>
        <w:topLinePunct w:val="0"/>
        <w:autoSpaceDE/>
        <w:autoSpaceDN/>
        <w:bidi w:val="0"/>
        <w:adjustRightInd/>
        <w:snapToGrid/>
        <w:spacing w:beforeAutospacing="0" w:afterAutospacing="0" w:line="460" w:lineRule="exact"/>
        <w:textAlignment w:val="auto"/>
        <w:rPr>
          <w:rFonts w:hAnsi="宋体"/>
          <w:sz w:val="21"/>
          <w:szCs w:val="21"/>
        </w:rPr>
      </w:pPr>
      <w:r>
        <w:rPr>
          <w:rFonts w:hAnsi="宋体"/>
          <w:sz w:val="21"/>
          <w:szCs w:val="21"/>
        </w:rPr>
        <w:t>　　第</w:t>
      </w:r>
      <w:r>
        <w:rPr>
          <w:rFonts w:hint="eastAsia" w:hAnsi="宋体"/>
          <w:sz w:val="21"/>
          <w:szCs w:val="21"/>
        </w:rPr>
        <w:t>九</w:t>
      </w:r>
      <w:r>
        <w:rPr>
          <w:rFonts w:hAnsi="宋体"/>
          <w:sz w:val="21"/>
          <w:szCs w:val="21"/>
        </w:rPr>
        <w:t>条　其他事项</w:t>
      </w:r>
    </w:p>
    <w:p w14:paraId="2412C6E5">
      <w:pPr>
        <w:pStyle w:val="9"/>
        <w:keepNext w:val="0"/>
        <w:keepLines w:val="0"/>
        <w:pageBreakBefore w:val="0"/>
        <w:widowControl w:val="0"/>
        <w:tabs>
          <w:tab w:val="left" w:pos="2472"/>
        </w:tabs>
        <w:kinsoku/>
        <w:wordWrap/>
        <w:overflowPunct/>
        <w:topLinePunct w:val="0"/>
        <w:autoSpaceDE/>
        <w:autoSpaceDN/>
        <w:bidi w:val="0"/>
        <w:adjustRightInd/>
        <w:snapToGrid/>
        <w:spacing w:beforeAutospacing="0" w:afterAutospacing="0" w:line="460" w:lineRule="exact"/>
        <w:textAlignment w:val="auto"/>
        <w:rPr>
          <w:rFonts w:hint="default" w:hAnsi="宋体" w:eastAsia="宋体"/>
          <w:sz w:val="21"/>
          <w:szCs w:val="21"/>
          <w:highlight w:val="none"/>
          <w:lang w:val="en-US" w:eastAsia="zh-CN"/>
        </w:rPr>
      </w:pPr>
      <w:r>
        <w:rPr>
          <w:rFonts w:hAnsi="宋体"/>
          <w:sz w:val="21"/>
          <w:szCs w:val="21"/>
        </w:rPr>
        <w:t>　</w:t>
      </w:r>
      <w:r>
        <w:rPr>
          <w:rFonts w:hAnsi="宋体"/>
          <w:sz w:val="21"/>
          <w:szCs w:val="21"/>
          <w:highlight w:val="none"/>
        </w:rPr>
        <w:t>　</w:t>
      </w:r>
      <w:r>
        <w:rPr>
          <w:rFonts w:hint="eastAsia" w:hAnsi="宋体"/>
          <w:sz w:val="21"/>
          <w:szCs w:val="21"/>
          <w:highlight w:val="none"/>
          <w:lang w:val="en-US" w:eastAsia="zh-CN"/>
        </w:rPr>
        <w:t>1.乙方须维护好拦截设施及警示标语、警示灯等警示标志，合同到期时保持完好。</w:t>
      </w:r>
    </w:p>
    <w:p w14:paraId="0EC2BD5B">
      <w:pPr>
        <w:pStyle w:val="9"/>
        <w:keepNext w:val="0"/>
        <w:keepLines w:val="0"/>
        <w:pageBreakBefore w:val="0"/>
        <w:widowControl w:val="0"/>
        <w:tabs>
          <w:tab w:val="left" w:pos="2472"/>
        </w:tabs>
        <w:kinsoku/>
        <w:wordWrap/>
        <w:overflowPunct/>
        <w:topLinePunct w:val="0"/>
        <w:autoSpaceDE/>
        <w:autoSpaceDN/>
        <w:bidi w:val="0"/>
        <w:adjustRightInd/>
        <w:snapToGrid/>
        <w:spacing w:beforeAutospacing="0" w:afterAutospacing="0" w:line="460" w:lineRule="exact"/>
        <w:ind w:firstLine="420" w:firstLineChars="200"/>
        <w:textAlignment w:val="auto"/>
        <w:rPr>
          <w:rFonts w:hAnsi="宋体"/>
          <w:sz w:val="21"/>
          <w:szCs w:val="21"/>
        </w:rPr>
      </w:pPr>
      <w:r>
        <w:rPr>
          <w:rFonts w:hint="eastAsia" w:hAnsi="宋体"/>
          <w:sz w:val="21"/>
          <w:szCs w:val="21"/>
          <w:lang w:val="en-US" w:eastAsia="zh-CN"/>
        </w:rPr>
        <w:t>2</w:t>
      </w:r>
      <w:r>
        <w:rPr>
          <w:rFonts w:hAnsi="宋体"/>
          <w:sz w:val="21"/>
          <w:szCs w:val="21"/>
        </w:rPr>
        <w:t>.双方可对本合同的条款进行修订更改或补充，以书面签订补充协议，补充协议与本合同具有同等效力。</w:t>
      </w:r>
    </w:p>
    <w:p w14:paraId="5F0F4320">
      <w:pPr>
        <w:pStyle w:val="9"/>
        <w:keepNext w:val="0"/>
        <w:keepLines w:val="0"/>
        <w:pageBreakBefore w:val="0"/>
        <w:widowControl w:val="0"/>
        <w:tabs>
          <w:tab w:val="left" w:pos="2472"/>
        </w:tabs>
        <w:kinsoku/>
        <w:wordWrap/>
        <w:overflowPunct/>
        <w:topLinePunct w:val="0"/>
        <w:autoSpaceDE/>
        <w:autoSpaceDN/>
        <w:bidi w:val="0"/>
        <w:adjustRightInd/>
        <w:snapToGrid/>
        <w:spacing w:beforeAutospacing="0" w:afterAutospacing="0" w:line="460" w:lineRule="exact"/>
        <w:textAlignment w:val="auto"/>
        <w:rPr>
          <w:rFonts w:ascii="宋体" w:hAnsi="宋体" w:eastAsia="宋体" w:cs="Times New Roman"/>
          <w:sz w:val="21"/>
          <w:szCs w:val="21"/>
        </w:rPr>
      </w:pPr>
      <w:r>
        <w:rPr>
          <w:rFonts w:hAnsi="宋体"/>
          <w:sz w:val="21"/>
          <w:szCs w:val="21"/>
        </w:rPr>
        <w:t>　</w:t>
      </w:r>
      <w:r>
        <w:rPr>
          <w:rFonts w:ascii="宋体" w:hAnsi="宋体" w:eastAsia="宋体" w:cs="Times New Roman"/>
          <w:sz w:val="21"/>
          <w:szCs w:val="21"/>
        </w:rPr>
        <w:t>　</w:t>
      </w:r>
      <w:r>
        <w:rPr>
          <w:rFonts w:hint="eastAsia" w:hAnsi="宋体" w:cs="Times New Roman"/>
          <w:sz w:val="21"/>
          <w:szCs w:val="21"/>
          <w:lang w:val="en-US" w:eastAsia="zh-CN"/>
        </w:rPr>
        <w:t>3</w:t>
      </w:r>
      <w:r>
        <w:rPr>
          <w:rFonts w:ascii="宋体" w:hAnsi="宋体" w:eastAsia="宋体" w:cs="Times New Roman"/>
          <w:sz w:val="21"/>
          <w:szCs w:val="21"/>
        </w:rPr>
        <w:t>.本合同执行期间，如遇不可抗力，致使合同无法履行时，双方均不承担违约责任并按有关法规政策规定及时协商处理。</w:t>
      </w:r>
    </w:p>
    <w:p w14:paraId="7E6255FF">
      <w:pPr>
        <w:pStyle w:val="9"/>
        <w:keepNext w:val="0"/>
        <w:keepLines w:val="0"/>
        <w:pageBreakBefore w:val="0"/>
        <w:widowControl w:val="0"/>
        <w:tabs>
          <w:tab w:val="left" w:pos="2472"/>
        </w:tabs>
        <w:kinsoku/>
        <w:wordWrap/>
        <w:overflowPunct/>
        <w:topLinePunct w:val="0"/>
        <w:autoSpaceDE/>
        <w:autoSpaceDN/>
        <w:bidi w:val="0"/>
        <w:adjustRightInd/>
        <w:snapToGrid/>
        <w:spacing w:beforeAutospacing="0" w:afterAutospacing="0" w:line="460" w:lineRule="exact"/>
        <w:textAlignment w:val="auto"/>
        <w:rPr>
          <w:rFonts w:ascii="宋体" w:hAnsi="宋体" w:eastAsia="宋体" w:cs="Times New Roman"/>
          <w:sz w:val="21"/>
          <w:szCs w:val="21"/>
        </w:rPr>
      </w:pPr>
      <w:r>
        <w:rPr>
          <w:rFonts w:ascii="宋体" w:hAnsi="宋体" w:eastAsia="宋体" w:cs="Times New Roman"/>
          <w:sz w:val="21"/>
          <w:szCs w:val="21"/>
        </w:rPr>
        <w:t>　　</w:t>
      </w:r>
      <w:r>
        <w:rPr>
          <w:rFonts w:hint="eastAsia" w:hAnsi="宋体" w:cs="Times New Roman"/>
          <w:sz w:val="21"/>
          <w:szCs w:val="21"/>
          <w:lang w:val="en-US" w:eastAsia="zh-CN"/>
        </w:rPr>
        <w:t>4</w:t>
      </w:r>
      <w:r>
        <w:rPr>
          <w:rFonts w:ascii="宋体" w:hAnsi="宋体" w:eastAsia="宋体" w:cs="Times New Roman"/>
          <w:sz w:val="21"/>
          <w:szCs w:val="21"/>
        </w:rPr>
        <w:t>.本合同在履行中如发生争议，双方应协商解决，协商不成时，提请主管部门调解，调解不成的，</w:t>
      </w:r>
      <w:r>
        <w:rPr>
          <w:rFonts w:hint="eastAsia" w:ascii="宋体" w:hAnsi="宋体" w:eastAsia="宋体" w:cs="Times New Roman"/>
          <w:sz w:val="21"/>
          <w:szCs w:val="21"/>
        </w:rPr>
        <w:t>任何一方可向项目所在地人民法院提起诉讼</w:t>
      </w:r>
      <w:r>
        <w:rPr>
          <w:rFonts w:ascii="宋体" w:hAnsi="宋体" w:eastAsia="宋体" w:cs="Times New Roman"/>
          <w:sz w:val="21"/>
          <w:szCs w:val="21"/>
        </w:rPr>
        <w:t>。</w:t>
      </w:r>
    </w:p>
    <w:p w14:paraId="69CED1EF">
      <w:pPr>
        <w:pStyle w:val="9"/>
        <w:keepNext w:val="0"/>
        <w:keepLines w:val="0"/>
        <w:pageBreakBefore w:val="0"/>
        <w:widowControl w:val="0"/>
        <w:tabs>
          <w:tab w:val="left" w:pos="2472"/>
        </w:tabs>
        <w:kinsoku/>
        <w:wordWrap/>
        <w:overflowPunct/>
        <w:topLinePunct w:val="0"/>
        <w:autoSpaceDE/>
        <w:autoSpaceDN/>
        <w:bidi w:val="0"/>
        <w:adjustRightInd/>
        <w:snapToGrid/>
        <w:spacing w:beforeAutospacing="0" w:afterAutospacing="0" w:line="460" w:lineRule="exact"/>
        <w:ind w:firstLine="420"/>
        <w:textAlignment w:val="auto"/>
        <w:rPr>
          <w:rFonts w:ascii="宋体" w:hAnsi="宋体" w:eastAsia="宋体" w:cs="Times New Roman"/>
          <w:sz w:val="21"/>
          <w:szCs w:val="21"/>
        </w:rPr>
      </w:pPr>
      <w:r>
        <w:rPr>
          <w:rFonts w:hint="eastAsia" w:hAnsi="宋体" w:cs="Times New Roman"/>
          <w:sz w:val="21"/>
          <w:szCs w:val="21"/>
          <w:lang w:val="en-US" w:eastAsia="zh-CN"/>
        </w:rPr>
        <w:t>5</w:t>
      </w:r>
      <w:r>
        <w:rPr>
          <w:rFonts w:ascii="宋体" w:hAnsi="宋体" w:eastAsia="宋体" w:cs="Times New Roman"/>
          <w:sz w:val="21"/>
          <w:szCs w:val="21"/>
        </w:rPr>
        <w:t>.本合同之附件均为合同有效组成部分</w:t>
      </w:r>
      <w:r>
        <w:rPr>
          <w:rFonts w:hint="eastAsia" w:hAnsi="宋体" w:cs="Times New Roman"/>
          <w:sz w:val="21"/>
          <w:szCs w:val="21"/>
          <w:lang w:eastAsia="zh-CN"/>
        </w:rPr>
        <w:t>；</w:t>
      </w:r>
      <w:r>
        <w:rPr>
          <w:rFonts w:ascii="宋体" w:hAnsi="宋体" w:eastAsia="宋体" w:cs="Times New Roman"/>
          <w:sz w:val="21"/>
          <w:szCs w:val="21"/>
        </w:rPr>
        <w:t>本合同及其附件内，空格部分填写的文字与印刷文字具有同等效力。</w:t>
      </w:r>
    </w:p>
    <w:p w14:paraId="747B58B5">
      <w:pPr>
        <w:pStyle w:val="9"/>
        <w:keepNext w:val="0"/>
        <w:keepLines w:val="0"/>
        <w:pageBreakBefore w:val="0"/>
        <w:widowControl w:val="0"/>
        <w:tabs>
          <w:tab w:val="left" w:pos="2472"/>
        </w:tabs>
        <w:kinsoku/>
        <w:wordWrap/>
        <w:overflowPunct/>
        <w:topLinePunct w:val="0"/>
        <w:autoSpaceDE/>
        <w:autoSpaceDN/>
        <w:bidi w:val="0"/>
        <w:adjustRightInd/>
        <w:snapToGrid/>
        <w:spacing w:beforeAutospacing="0" w:afterAutospacing="0" w:line="460" w:lineRule="exact"/>
        <w:ind w:firstLine="420"/>
        <w:textAlignment w:val="auto"/>
        <w:rPr>
          <w:rFonts w:ascii="宋体" w:hAnsi="宋体" w:eastAsia="宋体" w:cs="Times New Roman"/>
          <w:sz w:val="21"/>
          <w:szCs w:val="21"/>
        </w:rPr>
      </w:pPr>
      <w:r>
        <w:rPr>
          <w:rFonts w:hint="eastAsia" w:hAnsi="宋体" w:cs="Times New Roman"/>
          <w:sz w:val="21"/>
          <w:szCs w:val="21"/>
          <w:lang w:val="en-US" w:eastAsia="zh-CN"/>
        </w:rPr>
        <w:t>6</w:t>
      </w:r>
      <w:r>
        <w:rPr>
          <w:rFonts w:hint="eastAsia" w:ascii="宋体" w:hAnsi="宋体" w:eastAsia="宋体" w:cs="Times New Roman"/>
          <w:sz w:val="21"/>
          <w:szCs w:val="21"/>
          <w:lang w:val="en-US" w:eastAsia="zh-CN"/>
        </w:rPr>
        <w:t>.</w:t>
      </w:r>
      <w:r>
        <w:rPr>
          <w:rFonts w:ascii="宋体" w:hAnsi="宋体" w:eastAsia="宋体" w:cs="Times New Roman"/>
          <w:sz w:val="21"/>
          <w:szCs w:val="21"/>
        </w:rPr>
        <w:t>本合同及其附件和补充协议中未规定的事项，均遵照中华人民共和国有关法律、法规和政策执行。</w:t>
      </w:r>
    </w:p>
    <w:p w14:paraId="3848832F">
      <w:pPr>
        <w:pStyle w:val="9"/>
        <w:keepNext w:val="0"/>
        <w:keepLines w:val="0"/>
        <w:pageBreakBefore w:val="0"/>
        <w:widowControl w:val="0"/>
        <w:tabs>
          <w:tab w:val="left" w:pos="2472"/>
        </w:tabs>
        <w:kinsoku/>
        <w:wordWrap/>
        <w:overflowPunct/>
        <w:topLinePunct w:val="0"/>
        <w:autoSpaceDE/>
        <w:autoSpaceDN/>
        <w:bidi w:val="0"/>
        <w:adjustRightInd/>
        <w:snapToGrid/>
        <w:spacing w:beforeAutospacing="0" w:afterAutospacing="0" w:line="460" w:lineRule="exact"/>
        <w:ind w:firstLine="420" w:firstLineChars="200"/>
        <w:textAlignment w:val="auto"/>
        <w:rPr>
          <w:rFonts w:hAnsi="宋体"/>
          <w:sz w:val="21"/>
          <w:szCs w:val="21"/>
        </w:rPr>
      </w:pPr>
      <w:r>
        <w:rPr>
          <w:rFonts w:hint="eastAsia" w:hAnsi="宋体" w:cs="Times New Roman"/>
          <w:sz w:val="21"/>
          <w:szCs w:val="21"/>
          <w:lang w:val="en-US" w:eastAsia="zh-CN"/>
        </w:rPr>
        <w:t>7</w:t>
      </w:r>
      <w:r>
        <w:rPr>
          <w:rFonts w:hint="eastAsia" w:ascii="宋体" w:hAnsi="宋体" w:eastAsia="宋体" w:cs="Times New Roman"/>
          <w:sz w:val="21"/>
          <w:szCs w:val="21"/>
          <w:lang w:val="en-US" w:eastAsia="zh-CN"/>
        </w:rPr>
        <w:t>.</w:t>
      </w:r>
      <w:r>
        <w:rPr>
          <w:rFonts w:ascii="宋体" w:hAnsi="宋体" w:eastAsia="宋体" w:cs="Times New Roman"/>
          <w:sz w:val="21"/>
          <w:szCs w:val="21"/>
        </w:rPr>
        <w:t>本</w:t>
      </w:r>
      <w:r>
        <w:rPr>
          <w:rFonts w:hAnsi="宋体"/>
          <w:sz w:val="21"/>
          <w:szCs w:val="21"/>
        </w:rPr>
        <w:t>合同</w:t>
      </w:r>
      <w:r>
        <w:rPr>
          <w:rFonts w:hint="eastAsia" w:hAnsi="宋体"/>
          <w:sz w:val="21"/>
          <w:szCs w:val="21"/>
        </w:rPr>
        <w:t>一式</w:t>
      </w:r>
      <w:r>
        <w:rPr>
          <w:rFonts w:hint="eastAsia" w:hAnsi="宋体"/>
          <w:sz w:val="21"/>
          <w:szCs w:val="21"/>
          <w:u w:val="single"/>
        </w:rPr>
        <w:t xml:space="preserve">   </w:t>
      </w:r>
      <w:r>
        <w:rPr>
          <w:rFonts w:hint="eastAsia" w:hAnsi="宋体"/>
          <w:sz w:val="21"/>
          <w:szCs w:val="21"/>
        </w:rPr>
        <w:t>份，正本</w:t>
      </w:r>
      <w:r>
        <w:rPr>
          <w:rFonts w:hint="eastAsia" w:hAnsi="宋体"/>
          <w:sz w:val="21"/>
          <w:szCs w:val="21"/>
          <w:u w:val="single"/>
        </w:rPr>
        <w:t xml:space="preserve">   </w:t>
      </w:r>
      <w:r>
        <w:rPr>
          <w:rFonts w:hint="eastAsia" w:hAnsi="宋体"/>
          <w:sz w:val="21"/>
          <w:szCs w:val="21"/>
        </w:rPr>
        <w:t>份、副本</w:t>
      </w:r>
      <w:r>
        <w:rPr>
          <w:rFonts w:hint="eastAsia" w:hAnsi="宋体"/>
          <w:sz w:val="21"/>
          <w:szCs w:val="21"/>
          <w:u w:val="single"/>
        </w:rPr>
        <w:t xml:space="preserve">   </w:t>
      </w:r>
      <w:r>
        <w:rPr>
          <w:rFonts w:hint="eastAsia" w:hAnsi="宋体"/>
          <w:sz w:val="21"/>
          <w:szCs w:val="21"/>
        </w:rPr>
        <w:t>份</w:t>
      </w:r>
      <w:r>
        <w:rPr>
          <w:rFonts w:hAnsi="宋体"/>
          <w:sz w:val="21"/>
          <w:szCs w:val="21"/>
        </w:rPr>
        <w:t>，</w:t>
      </w:r>
      <w:r>
        <w:rPr>
          <w:rFonts w:hint="eastAsia" w:hAnsi="宋体"/>
          <w:sz w:val="21"/>
          <w:szCs w:val="21"/>
        </w:rPr>
        <w:t>甲方</w:t>
      </w:r>
      <w:r>
        <w:rPr>
          <w:rFonts w:hint="eastAsia" w:hAnsi="宋体"/>
          <w:sz w:val="21"/>
          <w:szCs w:val="21"/>
          <w:u w:val="single"/>
        </w:rPr>
        <w:t xml:space="preserve">   </w:t>
      </w:r>
      <w:r>
        <w:rPr>
          <w:rFonts w:hint="eastAsia" w:hAnsi="宋体"/>
          <w:sz w:val="21"/>
          <w:szCs w:val="21"/>
        </w:rPr>
        <w:t>份、乙方</w:t>
      </w:r>
      <w:r>
        <w:rPr>
          <w:rFonts w:hint="eastAsia" w:hAnsi="宋体"/>
          <w:sz w:val="21"/>
          <w:szCs w:val="21"/>
          <w:u w:val="single"/>
        </w:rPr>
        <w:t xml:space="preserve">   </w:t>
      </w:r>
      <w:r>
        <w:rPr>
          <w:rFonts w:hint="eastAsia" w:hAnsi="宋体"/>
          <w:sz w:val="21"/>
          <w:szCs w:val="21"/>
        </w:rPr>
        <w:t>份</w:t>
      </w:r>
      <w:r>
        <w:rPr>
          <w:rFonts w:hAnsi="宋体"/>
          <w:sz w:val="21"/>
          <w:szCs w:val="21"/>
        </w:rPr>
        <w:t>，</w:t>
      </w:r>
      <w:r>
        <w:rPr>
          <w:rFonts w:hint="eastAsia" w:hAnsi="宋体"/>
          <w:sz w:val="21"/>
          <w:szCs w:val="21"/>
        </w:rPr>
        <w:t>一份用于政府采购监管部门备案，</w:t>
      </w:r>
      <w:r>
        <w:rPr>
          <w:rFonts w:hAnsi="宋体"/>
          <w:sz w:val="21"/>
          <w:szCs w:val="21"/>
        </w:rPr>
        <w:t>具有同等法律效力。</w:t>
      </w:r>
    </w:p>
    <w:p w14:paraId="43135277">
      <w:pPr>
        <w:pStyle w:val="9"/>
        <w:keepNext w:val="0"/>
        <w:keepLines w:val="0"/>
        <w:pageBreakBefore w:val="0"/>
        <w:widowControl w:val="0"/>
        <w:tabs>
          <w:tab w:val="left" w:pos="2472"/>
        </w:tabs>
        <w:kinsoku/>
        <w:wordWrap/>
        <w:overflowPunct/>
        <w:topLinePunct w:val="0"/>
        <w:autoSpaceDE/>
        <w:autoSpaceDN/>
        <w:bidi w:val="0"/>
        <w:adjustRightInd/>
        <w:snapToGrid/>
        <w:spacing w:beforeAutospacing="0" w:afterAutospacing="0" w:line="460" w:lineRule="exact"/>
        <w:textAlignment w:val="auto"/>
        <w:rPr>
          <w:rFonts w:hAnsi="宋体"/>
          <w:sz w:val="22"/>
          <w:szCs w:val="22"/>
        </w:rPr>
      </w:pPr>
      <w:r>
        <w:rPr>
          <w:rFonts w:hAnsi="宋体"/>
          <w:sz w:val="21"/>
          <w:szCs w:val="21"/>
        </w:rPr>
        <w:t>　　</w:t>
      </w:r>
      <w:r>
        <w:rPr>
          <w:rFonts w:hint="eastAsia" w:hAnsi="宋体"/>
          <w:sz w:val="21"/>
          <w:szCs w:val="21"/>
          <w:lang w:val="en-US" w:eastAsia="zh-CN"/>
        </w:rPr>
        <w:t>8</w:t>
      </w:r>
      <w:r>
        <w:rPr>
          <w:rFonts w:hAnsi="宋体"/>
          <w:sz w:val="21"/>
          <w:szCs w:val="21"/>
        </w:rPr>
        <w:t>.本合同自签订之日起生效</w:t>
      </w:r>
      <w:r>
        <w:rPr>
          <w:rFonts w:hint="eastAsia" w:hAnsi="宋体"/>
          <w:sz w:val="21"/>
          <w:szCs w:val="21"/>
        </w:rPr>
        <w:t>，合同未尽事宜按招标文件及有关法律、法规执行</w:t>
      </w:r>
      <w:r>
        <w:rPr>
          <w:rFonts w:hAnsi="宋体"/>
          <w:sz w:val="21"/>
          <w:szCs w:val="21"/>
        </w:rPr>
        <w:t>。</w:t>
      </w:r>
    </w:p>
    <w:p w14:paraId="44665617">
      <w:pPr>
        <w:pStyle w:val="9"/>
        <w:keepLines w:val="0"/>
        <w:pageBreakBefore w:val="0"/>
        <w:widowControl w:val="0"/>
        <w:tabs>
          <w:tab w:val="left" w:pos="2472"/>
        </w:tabs>
        <w:spacing w:beforeAutospacing="0" w:after="120" w:line="400" w:lineRule="exact"/>
        <w:rPr>
          <w:rFonts w:hAnsi="宋体"/>
          <w:sz w:val="22"/>
          <w:szCs w:val="22"/>
        </w:rPr>
      </w:pPr>
      <w:r>
        <w:rPr>
          <w:rFonts w:hAnsi="宋体"/>
          <w:sz w:val="22"/>
          <w:szCs w:val="22"/>
        </w:rPr>
        <w:t>　</w:t>
      </w:r>
    </w:p>
    <w:p w14:paraId="4C01914A">
      <w:pPr>
        <w:pStyle w:val="9"/>
        <w:keepLines w:val="0"/>
        <w:pageBreakBefore w:val="0"/>
        <w:widowControl w:val="0"/>
        <w:tabs>
          <w:tab w:val="left" w:pos="2472"/>
        </w:tabs>
        <w:spacing w:before="120" w:after="120" w:line="400" w:lineRule="exact"/>
        <w:rPr>
          <w:rFonts w:hAnsi="宋体"/>
          <w:sz w:val="22"/>
          <w:szCs w:val="22"/>
        </w:rPr>
      </w:pPr>
    </w:p>
    <w:p w14:paraId="014AF40F">
      <w:pPr>
        <w:pStyle w:val="9"/>
        <w:keepLines w:val="0"/>
        <w:pageBreakBefore w:val="0"/>
        <w:widowControl w:val="0"/>
        <w:tabs>
          <w:tab w:val="left" w:pos="2472"/>
        </w:tabs>
        <w:spacing w:before="120" w:after="120" w:line="400" w:lineRule="exact"/>
        <w:ind w:firstLine="220"/>
        <w:rPr>
          <w:rFonts w:hAnsi="宋体"/>
          <w:sz w:val="22"/>
          <w:szCs w:val="22"/>
        </w:rPr>
      </w:pPr>
      <w:r>
        <w:rPr>
          <w:rFonts w:hAnsi="宋体"/>
          <w:sz w:val="22"/>
          <w:szCs w:val="22"/>
        </w:rPr>
        <w:t>　甲方(盖章)：</w:t>
      </w:r>
      <w:r>
        <w:rPr>
          <w:rFonts w:hAnsi="宋体"/>
          <w:sz w:val="22"/>
          <w:szCs w:val="22"/>
          <w:u w:val="none"/>
        </w:rPr>
        <w:t>_________</w:t>
      </w:r>
      <w:r>
        <w:rPr>
          <w:rFonts w:hAnsi="宋体"/>
          <w:sz w:val="22"/>
          <w:szCs w:val="22"/>
        </w:rPr>
        <w:t>　　　　　　　　</w:t>
      </w:r>
      <w:r>
        <w:rPr>
          <w:rFonts w:hint="eastAsia" w:hAnsi="宋体"/>
          <w:sz w:val="22"/>
          <w:szCs w:val="22"/>
          <w:lang w:val="en-US" w:eastAsia="zh-CN"/>
        </w:rPr>
        <w:t xml:space="preserve">  </w:t>
      </w:r>
      <w:r>
        <w:rPr>
          <w:rFonts w:hAnsi="宋体"/>
          <w:sz w:val="22"/>
          <w:szCs w:val="22"/>
        </w:rPr>
        <w:t>乙方(盖章)：_________</w:t>
      </w:r>
    </w:p>
    <w:p w14:paraId="3DB85AD6">
      <w:pPr>
        <w:pStyle w:val="9"/>
        <w:keepLines w:val="0"/>
        <w:pageBreakBefore w:val="0"/>
        <w:widowControl w:val="0"/>
        <w:tabs>
          <w:tab w:val="left" w:pos="2472"/>
        </w:tabs>
        <w:spacing w:before="120" w:after="120" w:line="400" w:lineRule="exact"/>
        <w:ind w:firstLine="220"/>
        <w:rPr>
          <w:rFonts w:hint="eastAsia" w:ascii="宋体" w:hAnsi="宋体" w:eastAsia="宋体" w:cs="宋体"/>
          <w:sz w:val="22"/>
          <w:szCs w:val="22"/>
        </w:rPr>
      </w:pPr>
      <w:r>
        <w:rPr>
          <w:rFonts w:hAnsi="宋体"/>
          <w:sz w:val="22"/>
          <w:szCs w:val="22"/>
        </w:rPr>
        <w:t>法定代表人(签字)：_________　　　　　</w:t>
      </w:r>
      <w:r>
        <w:rPr>
          <w:rFonts w:hint="eastAsia" w:hAnsi="宋体"/>
          <w:sz w:val="22"/>
          <w:szCs w:val="22"/>
          <w:lang w:val="en-US" w:eastAsia="zh-CN"/>
        </w:rPr>
        <w:t xml:space="preserve">    </w:t>
      </w:r>
      <w:r>
        <w:rPr>
          <w:rFonts w:hAnsi="宋体"/>
          <w:sz w:val="22"/>
          <w:szCs w:val="22"/>
        </w:rPr>
        <w:t>法定代表人(签字)：_________</w:t>
      </w:r>
    </w:p>
    <w:p w14:paraId="74CE4C62">
      <w:pPr>
        <w:pStyle w:val="9"/>
        <w:keepLines w:val="0"/>
        <w:pageBreakBefore w:val="0"/>
        <w:widowControl w:val="0"/>
        <w:tabs>
          <w:tab w:val="left" w:pos="2472"/>
        </w:tabs>
        <w:spacing w:before="120" w:after="120" w:line="400" w:lineRule="exact"/>
        <w:ind w:firstLine="660"/>
        <w:rPr>
          <w:rFonts w:hAnsi="宋体"/>
          <w:sz w:val="22"/>
          <w:szCs w:val="22"/>
        </w:rPr>
      </w:pPr>
      <w:r>
        <w:rPr>
          <w:rFonts w:hint="eastAsia" w:ascii="宋体" w:hAnsi="宋体" w:eastAsia="宋体" w:cs="宋体"/>
          <w:sz w:val="22"/>
          <w:szCs w:val="22"/>
        </w:rPr>
        <w:t>_________年____月____日　　　　　　　_________年____月____日</w:t>
      </w:r>
    </w:p>
    <w:p w14:paraId="751473F8">
      <w:pPr>
        <w:spacing w:line="520" w:lineRule="exact"/>
        <w:jc w:val="center"/>
        <w:outlineLvl w:val="0"/>
        <w:rPr>
          <w:rFonts w:hint="eastAsia"/>
          <w:b/>
          <w:sz w:val="44"/>
          <w:szCs w:val="44"/>
        </w:rPr>
      </w:pPr>
    </w:p>
    <w:p w14:paraId="5FDABCF7">
      <w:pPr>
        <w:spacing w:line="520" w:lineRule="exact"/>
        <w:jc w:val="center"/>
        <w:outlineLvl w:val="0"/>
        <w:rPr>
          <w:rFonts w:hint="eastAsia"/>
          <w:b/>
          <w:sz w:val="44"/>
          <w:szCs w:val="44"/>
        </w:rPr>
        <w:sectPr>
          <w:footerReference r:id="rId6" w:type="default"/>
          <w:pgSz w:w="11906" w:h="16838"/>
          <w:pgMar w:top="1440" w:right="1587" w:bottom="1440" w:left="1587" w:header="851" w:footer="907" w:gutter="0"/>
          <w:cols w:space="720" w:num="1"/>
          <w:docGrid w:linePitch="360" w:charSpace="0"/>
        </w:sectPr>
      </w:pPr>
    </w:p>
    <w:p w14:paraId="396EC769">
      <w:pPr>
        <w:spacing w:line="240" w:lineRule="auto"/>
        <w:ind w:firstLine="0"/>
        <w:jc w:val="center"/>
        <w:rPr>
          <w:rFonts w:ascii="Times New Roman" w:eastAsia="方正小标宋_GBK"/>
          <w:color w:val="000000"/>
          <w:sz w:val="44"/>
          <w:szCs w:val="44"/>
        </w:rPr>
      </w:pPr>
      <w:bookmarkStart w:id="166" w:name="MOFFICE_OUTDOC_NTDOC__TITLE"/>
      <w:r>
        <w:rPr>
          <w:rFonts w:ascii="Times New Roman" w:eastAsia="方正小标宋_GBK"/>
          <w:color w:val="000000"/>
          <w:sz w:val="44"/>
          <w:szCs w:val="44"/>
        </w:rPr>
        <w:t>政府采购合同履约验收书（参考格式）</w:t>
      </w:r>
    </w:p>
    <w:p w14:paraId="13342518">
      <w:pPr>
        <w:spacing w:line="560" w:lineRule="exact"/>
        <w:ind w:firstLine="600"/>
        <w:jc w:val="left"/>
        <w:rPr>
          <w:rFonts w:ascii="Times New Roman"/>
          <w:color w:val="505050"/>
          <w:szCs w:val="32"/>
        </w:rPr>
      </w:pPr>
      <w:r>
        <w:rPr>
          <w:rFonts w:ascii="Times New Roman"/>
          <w:color w:val="000000"/>
          <w:szCs w:val="32"/>
        </w:rPr>
        <w:t>根据政府采购合同（编号：          ）的约定，我单位组织对</w:t>
      </w:r>
      <w:r>
        <w:rPr>
          <w:rFonts w:ascii="Times New Roman"/>
          <w:color w:val="000000"/>
          <w:szCs w:val="32"/>
          <w:u w:val="single"/>
        </w:rPr>
        <w:t>（项目名称）</w:t>
      </w:r>
      <w:r>
        <w:rPr>
          <w:rFonts w:ascii="Times New Roman"/>
          <w:color w:val="000000"/>
          <w:szCs w:val="32"/>
        </w:rPr>
        <w:t>项目中标（成交）供应商</w:t>
      </w:r>
      <w:r>
        <w:rPr>
          <w:rFonts w:ascii="Times New Roman"/>
          <w:color w:val="000000"/>
          <w:szCs w:val="32"/>
          <w:u w:val="single"/>
        </w:rPr>
        <w:t>（公司名称）</w:t>
      </w:r>
      <w:r>
        <w:rPr>
          <w:rFonts w:ascii="Times New Roman"/>
          <w:color w:val="000000"/>
          <w:szCs w:val="32"/>
        </w:rPr>
        <w:t>提供的货物（工程、服务）进行了履约验收，验收情况如下：</w:t>
      </w:r>
      <w:bookmarkEnd w:id="166"/>
    </w:p>
    <w:tbl>
      <w:tblPr>
        <w:tblStyle w:val="16"/>
        <w:tblW w:w="9132" w:type="dxa"/>
        <w:jc w:val="center"/>
        <w:tblLayout w:type="fixed"/>
        <w:tblCellMar>
          <w:top w:w="0" w:type="dxa"/>
          <w:left w:w="108" w:type="dxa"/>
          <w:bottom w:w="0" w:type="dxa"/>
          <w:right w:w="108" w:type="dxa"/>
        </w:tblCellMar>
      </w:tblPr>
      <w:tblGrid>
        <w:gridCol w:w="1708"/>
        <w:gridCol w:w="3030"/>
        <w:gridCol w:w="1750"/>
        <w:gridCol w:w="2644"/>
      </w:tblGrid>
      <w:tr w14:paraId="72388728">
        <w:tblPrEx>
          <w:tblCellMar>
            <w:top w:w="0" w:type="dxa"/>
            <w:left w:w="108" w:type="dxa"/>
            <w:bottom w:w="0" w:type="dxa"/>
            <w:right w:w="108" w:type="dxa"/>
          </w:tblCellMar>
        </w:tblPrEx>
        <w:trPr>
          <w:trHeight w:val="855" w:hRule="atLeast"/>
          <w:jc w:val="center"/>
        </w:trPr>
        <w:tc>
          <w:tcPr>
            <w:tcW w:w="1708" w:type="dxa"/>
            <w:tcBorders>
              <w:top w:val="single" w:color="auto" w:sz="8" w:space="0"/>
              <w:left w:val="single" w:color="auto" w:sz="8" w:space="0"/>
              <w:bottom w:val="single" w:color="auto" w:sz="4" w:space="0"/>
              <w:right w:val="single" w:color="auto" w:sz="4" w:space="0"/>
            </w:tcBorders>
            <w:noWrap w:val="0"/>
            <w:vAlign w:val="center"/>
          </w:tcPr>
          <w:p w14:paraId="40321FBA">
            <w:pPr>
              <w:spacing w:line="360" w:lineRule="exact"/>
              <w:ind w:firstLine="0"/>
              <w:jc w:val="center"/>
              <w:rPr>
                <w:rFonts w:ascii="Times New Roman"/>
                <w:color w:val="000000"/>
                <w:szCs w:val="32"/>
              </w:rPr>
            </w:pPr>
            <w:r>
              <w:rPr>
                <w:rFonts w:ascii="Times New Roman"/>
                <w:color w:val="000000"/>
                <w:szCs w:val="32"/>
              </w:rPr>
              <w:t>项目名称</w:t>
            </w:r>
          </w:p>
        </w:tc>
        <w:tc>
          <w:tcPr>
            <w:tcW w:w="3030" w:type="dxa"/>
            <w:tcBorders>
              <w:top w:val="single" w:color="auto" w:sz="8" w:space="0"/>
              <w:left w:val="nil"/>
              <w:bottom w:val="single" w:color="auto" w:sz="4" w:space="0"/>
              <w:right w:val="single" w:color="auto" w:sz="4" w:space="0"/>
            </w:tcBorders>
            <w:noWrap w:val="0"/>
            <w:vAlign w:val="center"/>
          </w:tcPr>
          <w:p w14:paraId="79992A78">
            <w:pPr>
              <w:spacing w:line="360" w:lineRule="exact"/>
              <w:ind w:firstLine="0"/>
              <w:jc w:val="center"/>
              <w:rPr>
                <w:rFonts w:ascii="Times New Roman"/>
                <w:color w:val="000000"/>
                <w:szCs w:val="32"/>
              </w:rPr>
            </w:pPr>
          </w:p>
        </w:tc>
        <w:tc>
          <w:tcPr>
            <w:tcW w:w="1750" w:type="dxa"/>
            <w:tcBorders>
              <w:top w:val="single" w:color="auto" w:sz="8" w:space="0"/>
              <w:left w:val="nil"/>
              <w:bottom w:val="single" w:color="auto" w:sz="4" w:space="0"/>
              <w:right w:val="single" w:color="auto" w:sz="4" w:space="0"/>
            </w:tcBorders>
            <w:noWrap w:val="0"/>
            <w:vAlign w:val="center"/>
          </w:tcPr>
          <w:p w14:paraId="567457E4">
            <w:pPr>
              <w:spacing w:line="360" w:lineRule="exact"/>
              <w:ind w:firstLine="0"/>
              <w:jc w:val="center"/>
              <w:rPr>
                <w:rFonts w:ascii="Times New Roman"/>
                <w:color w:val="000000"/>
                <w:szCs w:val="32"/>
              </w:rPr>
            </w:pPr>
            <w:r>
              <w:rPr>
                <w:rFonts w:ascii="Times New Roman"/>
                <w:color w:val="000000"/>
                <w:szCs w:val="32"/>
              </w:rPr>
              <w:t>项目地点</w:t>
            </w:r>
          </w:p>
        </w:tc>
        <w:tc>
          <w:tcPr>
            <w:tcW w:w="2644" w:type="dxa"/>
            <w:tcBorders>
              <w:top w:val="single" w:color="auto" w:sz="8" w:space="0"/>
              <w:left w:val="nil"/>
              <w:bottom w:val="single" w:color="auto" w:sz="4" w:space="0"/>
              <w:right w:val="single" w:color="auto" w:sz="8" w:space="0"/>
            </w:tcBorders>
            <w:noWrap w:val="0"/>
            <w:vAlign w:val="center"/>
          </w:tcPr>
          <w:p w14:paraId="60249CBC">
            <w:pPr>
              <w:spacing w:line="360" w:lineRule="exact"/>
              <w:ind w:firstLine="0"/>
              <w:jc w:val="center"/>
              <w:rPr>
                <w:rFonts w:ascii="Times New Roman"/>
                <w:color w:val="000000"/>
                <w:szCs w:val="32"/>
              </w:rPr>
            </w:pPr>
          </w:p>
        </w:tc>
      </w:tr>
      <w:tr w14:paraId="68EBA499">
        <w:tblPrEx>
          <w:tblCellMar>
            <w:top w:w="0" w:type="dxa"/>
            <w:left w:w="108" w:type="dxa"/>
            <w:bottom w:w="0" w:type="dxa"/>
            <w:right w:w="108" w:type="dxa"/>
          </w:tblCellMar>
        </w:tblPrEx>
        <w:trPr>
          <w:trHeight w:val="855" w:hRule="atLeast"/>
          <w:jc w:val="center"/>
        </w:trPr>
        <w:tc>
          <w:tcPr>
            <w:tcW w:w="1708" w:type="dxa"/>
            <w:tcBorders>
              <w:top w:val="nil"/>
              <w:left w:val="single" w:color="auto" w:sz="8" w:space="0"/>
              <w:bottom w:val="single" w:color="auto" w:sz="4" w:space="0"/>
              <w:right w:val="single" w:color="auto" w:sz="4" w:space="0"/>
            </w:tcBorders>
            <w:noWrap w:val="0"/>
            <w:vAlign w:val="center"/>
          </w:tcPr>
          <w:p w14:paraId="031099EF">
            <w:pPr>
              <w:spacing w:line="360" w:lineRule="exact"/>
              <w:ind w:firstLine="0"/>
              <w:jc w:val="center"/>
              <w:rPr>
                <w:rFonts w:ascii="Times New Roman"/>
                <w:color w:val="000000"/>
                <w:szCs w:val="32"/>
              </w:rPr>
            </w:pPr>
            <w:r>
              <w:rPr>
                <w:rFonts w:ascii="Times New Roman"/>
                <w:color w:val="000000"/>
                <w:szCs w:val="32"/>
              </w:rPr>
              <w:t>预算金额</w:t>
            </w:r>
          </w:p>
        </w:tc>
        <w:tc>
          <w:tcPr>
            <w:tcW w:w="3030" w:type="dxa"/>
            <w:tcBorders>
              <w:top w:val="single" w:color="auto" w:sz="4" w:space="0"/>
              <w:left w:val="nil"/>
              <w:bottom w:val="single" w:color="auto" w:sz="4" w:space="0"/>
              <w:right w:val="single" w:color="auto" w:sz="4" w:space="0"/>
            </w:tcBorders>
            <w:noWrap w:val="0"/>
            <w:vAlign w:val="center"/>
          </w:tcPr>
          <w:p w14:paraId="6B37AD48">
            <w:pPr>
              <w:spacing w:line="360" w:lineRule="exact"/>
              <w:ind w:firstLine="0"/>
              <w:jc w:val="center"/>
              <w:rPr>
                <w:rFonts w:ascii="Times New Roman"/>
                <w:color w:val="000000"/>
                <w:szCs w:val="32"/>
              </w:rPr>
            </w:pPr>
          </w:p>
        </w:tc>
        <w:tc>
          <w:tcPr>
            <w:tcW w:w="1750" w:type="dxa"/>
            <w:tcBorders>
              <w:top w:val="nil"/>
              <w:left w:val="nil"/>
              <w:bottom w:val="nil"/>
              <w:right w:val="nil"/>
            </w:tcBorders>
            <w:noWrap w:val="0"/>
            <w:vAlign w:val="center"/>
          </w:tcPr>
          <w:p w14:paraId="396AA36E">
            <w:pPr>
              <w:spacing w:line="360" w:lineRule="exact"/>
              <w:ind w:firstLine="0"/>
              <w:jc w:val="center"/>
              <w:rPr>
                <w:rFonts w:ascii="Times New Roman"/>
                <w:color w:val="000000"/>
                <w:szCs w:val="32"/>
              </w:rPr>
            </w:pPr>
            <w:r>
              <w:rPr>
                <w:rFonts w:ascii="Times New Roman"/>
                <w:color w:val="000000"/>
                <w:szCs w:val="32"/>
              </w:rPr>
              <w:t>承接单位</w:t>
            </w:r>
          </w:p>
        </w:tc>
        <w:tc>
          <w:tcPr>
            <w:tcW w:w="2644" w:type="dxa"/>
            <w:tcBorders>
              <w:top w:val="nil"/>
              <w:left w:val="single" w:color="auto" w:sz="4" w:space="0"/>
              <w:bottom w:val="single" w:color="auto" w:sz="4" w:space="0"/>
              <w:right w:val="single" w:color="auto" w:sz="8" w:space="0"/>
            </w:tcBorders>
            <w:noWrap w:val="0"/>
            <w:vAlign w:val="center"/>
          </w:tcPr>
          <w:p w14:paraId="3491D3F7">
            <w:pPr>
              <w:spacing w:line="360" w:lineRule="exact"/>
              <w:ind w:firstLine="0"/>
              <w:jc w:val="left"/>
              <w:rPr>
                <w:rFonts w:ascii="Times New Roman"/>
                <w:color w:val="000000"/>
                <w:szCs w:val="32"/>
              </w:rPr>
            </w:pPr>
          </w:p>
        </w:tc>
      </w:tr>
      <w:tr w14:paraId="5D0A54C4">
        <w:tblPrEx>
          <w:tblCellMar>
            <w:top w:w="0" w:type="dxa"/>
            <w:left w:w="108" w:type="dxa"/>
            <w:bottom w:w="0" w:type="dxa"/>
            <w:right w:w="108" w:type="dxa"/>
          </w:tblCellMar>
        </w:tblPrEx>
        <w:trPr>
          <w:trHeight w:val="855" w:hRule="atLeast"/>
          <w:jc w:val="center"/>
        </w:trPr>
        <w:tc>
          <w:tcPr>
            <w:tcW w:w="1708" w:type="dxa"/>
            <w:tcBorders>
              <w:top w:val="nil"/>
              <w:left w:val="single" w:color="auto" w:sz="8" w:space="0"/>
              <w:bottom w:val="single" w:color="auto" w:sz="4" w:space="0"/>
              <w:right w:val="single" w:color="auto" w:sz="4" w:space="0"/>
            </w:tcBorders>
            <w:noWrap w:val="0"/>
            <w:vAlign w:val="center"/>
          </w:tcPr>
          <w:p w14:paraId="4A8E0E00">
            <w:pPr>
              <w:spacing w:line="360" w:lineRule="exact"/>
              <w:ind w:firstLine="0"/>
              <w:jc w:val="center"/>
              <w:rPr>
                <w:rFonts w:ascii="Times New Roman"/>
                <w:color w:val="000000"/>
                <w:szCs w:val="32"/>
              </w:rPr>
            </w:pPr>
            <w:r>
              <w:rPr>
                <w:rFonts w:ascii="Times New Roman"/>
                <w:color w:val="000000"/>
                <w:szCs w:val="32"/>
              </w:rPr>
              <w:t>合同时间</w:t>
            </w:r>
          </w:p>
        </w:tc>
        <w:tc>
          <w:tcPr>
            <w:tcW w:w="3030" w:type="dxa"/>
            <w:tcBorders>
              <w:top w:val="single" w:color="auto" w:sz="4" w:space="0"/>
              <w:left w:val="nil"/>
              <w:bottom w:val="single" w:color="auto" w:sz="4" w:space="0"/>
              <w:right w:val="single" w:color="auto" w:sz="4" w:space="0"/>
            </w:tcBorders>
            <w:noWrap w:val="0"/>
            <w:vAlign w:val="center"/>
          </w:tcPr>
          <w:p w14:paraId="3C042444">
            <w:pPr>
              <w:spacing w:line="360" w:lineRule="exact"/>
              <w:ind w:firstLine="0"/>
              <w:jc w:val="center"/>
              <w:rPr>
                <w:rFonts w:ascii="Times New Roman"/>
                <w:color w:val="000000"/>
                <w:szCs w:val="32"/>
              </w:rPr>
            </w:pPr>
          </w:p>
        </w:tc>
        <w:tc>
          <w:tcPr>
            <w:tcW w:w="1750" w:type="dxa"/>
            <w:tcBorders>
              <w:top w:val="single" w:color="auto" w:sz="4" w:space="0"/>
              <w:left w:val="nil"/>
              <w:bottom w:val="single" w:color="auto" w:sz="4" w:space="0"/>
              <w:right w:val="single" w:color="auto" w:sz="4" w:space="0"/>
            </w:tcBorders>
            <w:noWrap w:val="0"/>
            <w:vAlign w:val="center"/>
          </w:tcPr>
          <w:p w14:paraId="238210BF">
            <w:pPr>
              <w:spacing w:line="360" w:lineRule="exact"/>
              <w:ind w:firstLine="0"/>
              <w:jc w:val="center"/>
              <w:rPr>
                <w:rFonts w:ascii="Times New Roman"/>
                <w:color w:val="000000"/>
                <w:szCs w:val="32"/>
              </w:rPr>
            </w:pPr>
            <w:r>
              <w:rPr>
                <w:rFonts w:ascii="Times New Roman"/>
                <w:color w:val="000000"/>
                <w:szCs w:val="32"/>
              </w:rPr>
              <w:t>项目开始时间</w:t>
            </w:r>
          </w:p>
        </w:tc>
        <w:tc>
          <w:tcPr>
            <w:tcW w:w="2644" w:type="dxa"/>
            <w:tcBorders>
              <w:top w:val="nil"/>
              <w:left w:val="nil"/>
              <w:bottom w:val="single" w:color="auto" w:sz="4" w:space="0"/>
              <w:right w:val="single" w:color="auto" w:sz="8" w:space="0"/>
            </w:tcBorders>
            <w:noWrap w:val="0"/>
            <w:vAlign w:val="center"/>
          </w:tcPr>
          <w:p w14:paraId="1CE46EF0">
            <w:pPr>
              <w:spacing w:line="360" w:lineRule="exact"/>
              <w:ind w:firstLine="0"/>
              <w:jc w:val="center"/>
              <w:rPr>
                <w:rFonts w:ascii="Times New Roman"/>
                <w:color w:val="000000"/>
                <w:szCs w:val="32"/>
              </w:rPr>
            </w:pPr>
          </w:p>
        </w:tc>
      </w:tr>
      <w:tr w14:paraId="34BE2331">
        <w:tblPrEx>
          <w:tblCellMar>
            <w:top w:w="0" w:type="dxa"/>
            <w:left w:w="108" w:type="dxa"/>
            <w:bottom w:w="0" w:type="dxa"/>
            <w:right w:w="108" w:type="dxa"/>
          </w:tblCellMar>
        </w:tblPrEx>
        <w:trPr>
          <w:trHeight w:val="855" w:hRule="atLeast"/>
          <w:jc w:val="center"/>
        </w:trPr>
        <w:tc>
          <w:tcPr>
            <w:tcW w:w="1708" w:type="dxa"/>
            <w:tcBorders>
              <w:top w:val="nil"/>
              <w:left w:val="single" w:color="auto" w:sz="8" w:space="0"/>
              <w:bottom w:val="single" w:color="auto" w:sz="4" w:space="0"/>
              <w:right w:val="single" w:color="auto" w:sz="4" w:space="0"/>
            </w:tcBorders>
            <w:noWrap w:val="0"/>
            <w:vAlign w:val="center"/>
          </w:tcPr>
          <w:p w14:paraId="3DBCB9C8">
            <w:pPr>
              <w:spacing w:line="360" w:lineRule="exact"/>
              <w:ind w:firstLine="0"/>
              <w:jc w:val="center"/>
              <w:rPr>
                <w:rFonts w:ascii="Times New Roman"/>
                <w:color w:val="000000"/>
                <w:szCs w:val="32"/>
              </w:rPr>
            </w:pPr>
            <w:r>
              <w:rPr>
                <w:rFonts w:ascii="Times New Roman"/>
                <w:color w:val="000000"/>
                <w:szCs w:val="32"/>
              </w:rPr>
              <w:t>项目结束时间</w:t>
            </w:r>
          </w:p>
        </w:tc>
        <w:tc>
          <w:tcPr>
            <w:tcW w:w="3030" w:type="dxa"/>
            <w:tcBorders>
              <w:top w:val="single" w:color="auto" w:sz="4" w:space="0"/>
              <w:left w:val="nil"/>
              <w:bottom w:val="single" w:color="auto" w:sz="4" w:space="0"/>
              <w:right w:val="single" w:color="auto" w:sz="4" w:space="0"/>
            </w:tcBorders>
            <w:noWrap w:val="0"/>
            <w:vAlign w:val="center"/>
          </w:tcPr>
          <w:p w14:paraId="3FB09004">
            <w:pPr>
              <w:spacing w:line="360" w:lineRule="exact"/>
              <w:ind w:firstLine="0"/>
              <w:jc w:val="center"/>
              <w:rPr>
                <w:rFonts w:ascii="Times New Roman"/>
                <w:color w:val="000000"/>
                <w:szCs w:val="32"/>
              </w:rPr>
            </w:pPr>
          </w:p>
        </w:tc>
        <w:tc>
          <w:tcPr>
            <w:tcW w:w="1750" w:type="dxa"/>
            <w:tcBorders>
              <w:top w:val="nil"/>
              <w:left w:val="nil"/>
              <w:bottom w:val="single" w:color="auto" w:sz="4" w:space="0"/>
              <w:right w:val="single" w:color="auto" w:sz="4" w:space="0"/>
            </w:tcBorders>
            <w:noWrap w:val="0"/>
            <w:vAlign w:val="center"/>
          </w:tcPr>
          <w:p w14:paraId="420F92F6">
            <w:pPr>
              <w:spacing w:line="360" w:lineRule="exact"/>
              <w:ind w:firstLine="0"/>
              <w:jc w:val="center"/>
              <w:rPr>
                <w:rFonts w:ascii="Times New Roman"/>
                <w:color w:val="000000"/>
                <w:szCs w:val="32"/>
              </w:rPr>
            </w:pPr>
            <w:r>
              <w:rPr>
                <w:rFonts w:ascii="Times New Roman"/>
                <w:color w:val="000000"/>
                <w:szCs w:val="32"/>
              </w:rPr>
              <w:t>项目联系人</w:t>
            </w:r>
          </w:p>
        </w:tc>
        <w:tc>
          <w:tcPr>
            <w:tcW w:w="2644" w:type="dxa"/>
            <w:tcBorders>
              <w:top w:val="nil"/>
              <w:left w:val="nil"/>
              <w:bottom w:val="single" w:color="auto" w:sz="4" w:space="0"/>
              <w:right w:val="single" w:color="auto" w:sz="8" w:space="0"/>
            </w:tcBorders>
            <w:noWrap w:val="0"/>
            <w:vAlign w:val="center"/>
          </w:tcPr>
          <w:p w14:paraId="311A9538">
            <w:pPr>
              <w:spacing w:line="360" w:lineRule="exact"/>
              <w:ind w:firstLine="0"/>
              <w:jc w:val="center"/>
              <w:rPr>
                <w:rFonts w:ascii="Times New Roman"/>
                <w:color w:val="000000"/>
                <w:szCs w:val="32"/>
              </w:rPr>
            </w:pPr>
          </w:p>
        </w:tc>
      </w:tr>
      <w:tr w14:paraId="2C10DDD2">
        <w:tblPrEx>
          <w:tblCellMar>
            <w:top w:w="0" w:type="dxa"/>
            <w:left w:w="108" w:type="dxa"/>
            <w:bottom w:w="0" w:type="dxa"/>
            <w:right w:w="108" w:type="dxa"/>
          </w:tblCellMar>
        </w:tblPrEx>
        <w:trPr>
          <w:trHeight w:val="3096" w:hRule="atLeast"/>
          <w:jc w:val="center"/>
        </w:trPr>
        <w:tc>
          <w:tcPr>
            <w:tcW w:w="9132" w:type="dxa"/>
            <w:gridSpan w:val="4"/>
            <w:tcBorders>
              <w:top w:val="single" w:color="auto" w:sz="4" w:space="0"/>
              <w:left w:val="single" w:color="auto" w:sz="8" w:space="0"/>
              <w:bottom w:val="single" w:color="auto" w:sz="4" w:space="0"/>
              <w:right w:val="single" w:color="000000" w:sz="8" w:space="0"/>
            </w:tcBorders>
            <w:noWrap w:val="0"/>
            <w:vAlign w:val="top"/>
          </w:tcPr>
          <w:p w14:paraId="0CAE02BE">
            <w:pPr>
              <w:spacing w:line="240" w:lineRule="auto"/>
              <w:ind w:firstLine="0"/>
              <w:jc w:val="center"/>
              <w:rPr>
                <w:rFonts w:ascii="Times New Roman"/>
                <w:b/>
                <w:bCs/>
                <w:color w:val="000000"/>
                <w:szCs w:val="32"/>
              </w:rPr>
            </w:pPr>
            <w:r>
              <w:rPr>
                <w:rFonts w:ascii="Times New Roman"/>
                <w:b/>
                <w:bCs/>
                <w:color w:val="000000"/>
                <w:szCs w:val="32"/>
              </w:rPr>
              <w:t>验收情况和验收意见</w:t>
            </w:r>
          </w:p>
          <w:p w14:paraId="40F55A25">
            <w:pPr>
              <w:spacing w:line="240" w:lineRule="auto"/>
              <w:ind w:firstLine="0"/>
              <w:rPr>
                <w:rFonts w:ascii="Times New Roman"/>
                <w:color w:val="000000"/>
                <w:szCs w:val="32"/>
              </w:rPr>
            </w:pPr>
            <w:r>
              <w:rPr>
                <w:rFonts w:ascii="Times New Roman"/>
                <w:color w:val="000000"/>
                <w:szCs w:val="32"/>
              </w:rPr>
              <w:t>（可另附）</w:t>
            </w:r>
          </w:p>
          <w:p w14:paraId="12F2C280">
            <w:pPr>
              <w:spacing w:line="240" w:lineRule="auto"/>
              <w:ind w:firstLine="0"/>
              <w:rPr>
                <w:rFonts w:ascii="Times New Roman"/>
                <w:color w:val="000000"/>
                <w:szCs w:val="32"/>
              </w:rPr>
            </w:pPr>
          </w:p>
          <w:p w14:paraId="132972EE">
            <w:pPr>
              <w:spacing w:line="240" w:lineRule="auto"/>
              <w:ind w:firstLine="0"/>
              <w:rPr>
                <w:rFonts w:ascii="Times New Roman"/>
                <w:color w:val="000000"/>
                <w:szCs w:val="32"/>
              </w:rPr>
            </w:pPr>
          </w:p>
          <w:p w14:paraId="1CF32E80">
            <w:pPr>
              <w:spacing w:line="240" w:lineRule="auto"/>
              <w:ind w:firstLine="0"/>
              <w:rPr>
                <w:rFonts w:ascii="Times New Roman"/>
                <w:color w:val="000000"/>
                <w:szCs w:val="32"/>
              </w:rPr>
            </w:pPr>
          </w:p>
          <w:p w14:paraId="5E03EDA8">
            <w:pPr>
              <w:spacing w:line="240" w:lineRule="auto"/>
              <w:ind w:firstLine="0"/>
              <w:rPr>
                <w:rFonts w:ascii="Times New Roman"/>
                <w:color w:val="000000"/>
                <w:szCs w:val="32"/>
              </w:rPr>
            </w:pPr>
          </w:p>
          <w:p w14:paraId="005D35FE">
            <w:pPr>
              <w:spacing w:line="240" w:lineRule="auto"/>
              <w:ind w:firstLine="0"/>
              <w:rPr>
                <w:rFonts w:ascii="Times New Roman"/>
                <w:color w:val="000000"/>
                <w:szCs w:val="32"/>
              </w:rPr>
            </w:pPr>
          </w:p>
          <w:p w14:paraId="7F865816">
            <w:pPr>
              <w:spacing w:line="240" w:lineRule="auto"/>
              <w:ind w:firstLine="0"/>
              <w:rPr>
                <w:rFonts w:ascii="Times New Roman"/>
                <w:color w:val="000000"/>
                <w:szCs w:val="32"/>
              </w:rPr>
            </w:pPr>
          </w:p>
          <w:p w14:paraId="12137E50">
            <w:pPr>
              <w:spacing w:line="240" w:lineRule="auto"/>
              <w:ind w:firstLine="0"/>
              <w:rPr>
                <w:rFonts w:ascii="Times New Roman"/>
                <w:color w:val="000000"/>
                <w:szCs w:val="32"/>
              </w:rPr>
            </w:pPr>
          </w:p>
          <w:p w14:paraId="1E3A9D93">
            <w:pPr>
              <w:spacing w:line="240" w:lineRule="auto"/>
              <w:ind w:firstLine="420"/>
              <w:rPr>
                <w:rFonts w:ascii="Times New Roman"/>
                <w:color w:val="000000"/>
                <w:szCs w:val="32"/>
              </w:rPr>
            </w:pPr>
          </w:p>
        </w:tc>
      </w:tr>
      <w:tr w14:paraId="06FB5A8A">
        <w:tblPrEx>
          <w:tblCellMar>
            <w:top w:w="0" w:type="dxa"/>
            <w:left w:w="108" w:type="dxa"/>
            <w:bottom w:w="0" w:type="dxa"/>
            <w:right w:w="108" w:type="dxa"/>
          </w:tblCellMar>
        </w:tblPrEx>
        <w:trPr>
          <w:trHeight w:val="567" w:hRule="atLeast"/>
          <w:jc w:val="center"/>
        </w:trPr>
        <w:tc>
          <w:tcPr>
            <w:tcW w:w="9132" w:type="dxa"/>
            <w:gridSpan w:val="4"/>
            <w:tcBorders>
              <w:top w:val="single" w:color="auto" w:sz="4" w:space="0"/>
              <w:left w:val="single" w:color="auto" w:sz="8" w:space="0"/>
              <w:bottom w:val="single" w:color="auto" w:sz="4" w:space="0"/>
              <w:right w:val="single" w:color="000000" w:sz="8" w:space="0"/>
            </w:tcBorders>
            <w:noWrap w:val="0"/>
            <w:vAlign w:val="top"/>
          </w:tcPr>
          <w:p w14:paraId="4A0DDF28">
            <w:pPr>
              <w:spacing w:line="240" w:lineRule="auto"/>
              <w:ind w:firstLine="0"/>
              <w:jc w:val="left"/>
              <w:rPr>
                <w:rFonts w:ascii="Times New Roman"/>
                <w:color w:val="000000"/>
                <w:szCs w:val="32"/>
              </w:rPr>
            </w:pPr>
            <w:r>
              <w:rPr>
                <w:rFonts w:ascii="Times New Roman"/>
                <w:color w:val="000000"/>
                <w:szCs w:val="32"/>
              </w:rPr>
              <w:t>验收小组（签字）：</w:t>
            </w:r>
          </w:p>
          <w:p w14:paraId="5679F97E">
            <w:pPr>
              <w:spacing w:line="240" w:lineRule="auto"/>
              <w:ind w:firstLine="0"/>
              <w:jc w:val="left"/>
              <w:rPr>
                <w:rFonts w:ascii="Times New Roman"/>
                <w:color w:val="000000"/>
                <w:szCs w:val="32"/>
              </w:rPr>
            </w:pPr>
          </w:p>
          <w:p w14:paraId="4DFA9295">
            <w:pPr>
              <w:spacing w:line="240" w:lineRule="auto"/>
              <w:ind w:firstLine="0"/>
              <w:jc w:val="left"/>
              <w:rPr>
                <w:rFonts w:ascii="Times New Roman"/>
                <w:color w:val="000000"/>
                <w:szCs w:val="32"/>
              </w:rPr>
            </w:pPr>
          </w:p>
          <w:p w14:paraId="5142C9B1">
            <w:pPr>
              <w:spacing w:line="240" w:lineRule="auto"/>
              <w:ind w:firstLine="0"/>
              <w:jc w:val="left"/>
              <w:rPr>
                <w:rFonts w:ascii="Times New Roman"/>
                <w:color w:val="000000"/>
                <w:szCs w:val="32"/>
              </w:rPr>
            </w:pPr>
          </w:p>
          <w:p w14:paraId="5ABE7ECE">
            <w:pPr>
              <w:spacing w:line="240" w:lineRule="auto"/>
              <w:ind w:firstLine="0"/>
              <w:jc w:val="left"/>
              <w:rPr>
                <w:rFonts w:ascii="Times New Roman"/>
                <w:color w:val="000000"/>
                <w:szCs w:val="32"/>
              </w:rPr>
            </w:pPr>
          </w:p>
          <w:p w14:paraId="49AE2C0A">
            <w:pPr>
              <w:spacing w:line="240" w:lineRule="auto"/>
              <w:ind w:firstLine="0"/>
              <w:jc w:val="left"/>
              <w:rPr>
                <w:rFonts w:ascii="Times New Roman"/>
                <w:color w:val="000000"/>
                <w:szCs w:val="32"/>
              </w:rPr>
            </w:pPr>
          </w:p>
          <w:p w14:paraId="49096EB8">
            <w:pPr>
              <w:spacing w:line="240" w:lineRule="auto"/>
              <w:ind w:firstLine="0"/>
              <w:jc w:val="left"/>
              <w:rPr>
                <w:rFonts w:ascii="Times New Roman"/>
                <w:color w:val="000000"/>
                <w:szCs w:val="32"/>
              </w:rPr>
            </w:pPr>
            <w:r>
              <w:rPr>
                <w:rFonts w:ascii="Times New Roman"/>
                <w:color w:val="000000"/>
                <w:szCs w:val="32"/>
              </w:rPr>
              <w:t>　　</w:t>
            </w:r>
          </w:p>
          <w:p w14:paraId="2F591FB6">
            <w:pPr>
              <w:spacing w:line="240" w:lineRule="auto"/>
              <w:ind w:firstLine="0"/>
              <w:jc w:val="left"/>
              <w:rPr>
                <w:rFonts w:ascii="Times New Roman"/>
                <w:color w:val="000000"/>
                <w:szCs w:val="32"/>
              </w:rPr>
            </w:pPr>
            <w:r>
              <w:rPr>
                <w:rFonts w:ascii="Times New Roman"/>
                <w:color w:val="000000"/>
                <w:szCs w:val="32"/>
              </w:rPr>
              <w:br w:type="textWrapping"/>
            </w:r>
            <w:r>
              <w:rPr>
                <w:rFonts w:ascii="Times New Roman"/>
                <w:color w:val="000000"/>
                <w:szCs w:val="32"/>
              </w:rPr>
              <w:t>　　　　　                              年    月    日</w:t>
            </w:r>
          </w:p>
        </w:tc>
      </w:tr>
      <w:tr w14:paraId="4A24C6BE">
        <w:tblPrEx>
          <w:tblCellMar>
            <w:top w:w="0" w:type="dxa"/>
            <w:left w:w="108" w:type="dxa"/>
            <w:bottom w:w="0" w:type="dxa"/>
            <w:right w:w="108" w:type="dxa"/>
          </w:tblCellMar>
        </w:tblPrEx>
        <w:trPr>
          <w:trHeight w:val="567" w:hRule="atLeast"/>
          <w:jc w:val="center"/>
        </w:trPr>
        <w:tc>
          <w:tcPr>
            <w:tcW w:w="9132" w:type="dxa"/>
            <w:gridSpan w:val="4"/>
            <w:tcBorders>
              <w:top w:val="single" w:color="auto" w:sz="4" w:space="0"/>
              <w:left w:val="single" w:color="auto" w:sz="8" w:space="0"/>
              <w:bottom w:val="single" w:color="auto" w:sz="4" w:space="0"/>
              <w:right w:val="single" w:color="000000" w:sz="8" w:space="0"/>
            </w:tcBorders>
            <w:noWrap w:val="0"/>
            <w:vAlign w:val="top"/>
          </w:tcPr>
          <w:p w14:paraId="1CD4EF22">
            <w:pPr>
              <w:spacing w:line="240" w:lineRule="auto"/>
              <w:ind w:firstLine="0"/>
              <w:jc w:val="left"/>
              <w:rPr>
                <w:rFonts w:ascii="Times New Roman"/>
                <w:color w:val="000000"/>
                <w:szCs w:val="32"/>
              </w:rPr>
            </w:pPr>
            <w:r>
              <w:rPr>
                <w:rFonts w:ascii="Times New Roman"/>
                <w:color w:val="000000"/>
                <w:szCs w:val="32"/>
              </w:rPr>
              <w:t>供应商确认意见（签章）：</w:t>
            </w:r>
          </w:p>
          <w:p w14:paraId="649310BB">
            <w:pPr>
              <w:spacing w:line="240" w:lineRule="auto"/>
              <w:ind w:firstLine="0"/>
              <w:jc w:val="left"/>
              <w:rPr>
                <w:rFonts w:ascii="Times New Roman"/>
                <w:color w:val="000000"/>
                <w:szCs w:val="32"/>
              </w:rPr>
            </w:pPr>
          </w:p>
          <w:p w14:paraId="19118878">
            <w:pPr>
              <w:spacing w:line="240" w:lineRule="auto"/>
              <w:ind w:firstLine="0"/>
              <w:jc w:val="left"/>
              <w:rPr>
                <w:rFonts w:ascii="Times New Roman"/>
                <w:color w:val="000000"/>
                <w:szCs w:val="32"/>
              </w:rPr>
            </w:pPr>
          </w:p>
          <w:p w14:paraId="6C61837F">
            <w:pPr>
              <w:spacing w:line="240" w:lineRule="auto"/>
              <w:ind w:firstLine="0"/>
              <w:jc w:val="left"/>
              <w:rPr>
                <w:rFonts w:ascii="Times New Roman"/>
                <w:color w:val="000000"/>
                <w:szCs w:val="32"/>
              </w:rPr>
            </w:pPr>
          </w:p>
          <w:p w14:paraId="7AD05C0B">
            <w:pPr>
              <w:spacing w:line="240" w:lineRule="auto"/>
              <w:ind w:firstLine="0"/>
              <w:jc w:val="left"/>
              <w:rPr>
                <w:rFonts w:ascii="Times New Roman"/>
                <w:color w:val="000000"/>
                <w:szCs w:val="32"/>
              </w:rPr>
            </w:pPr>
            <w:r>
              <w:rPr>
                <w:rFonts w:ascii="Times New Roman"/>
                <w:color w:val="000000"/>
                <w:szCs w:val="32"/>
              </w:rPr>
              <w:t>　　</w:t>
            </w:r>
            <w:r>
              <w:rPr>
                <w:rFonts w:ascii="Times New Roman"/>
                <w:color w:val="000000"/>
                <w:szCs w:val="32"/>
              </w:rPr>
              <w:br w:type="textWrapping"/>
            </w:r>
            <w:r>
              <w:rPr>
                <w:rFonts w:ascii="Times New Roman"/>
                <w:color w:val="000000"/>
                <w:szCs w:val="32"/>
              </w:rPr>
              <w:t>　　　　　                              年    月    日</w:t>
            </w:r>
          </w:p>
        </w:tc>
      </w:tr>
      <w:tr w14:paraId="1DC9F9E0">
        <w:tblPrEx>
          <w:tblCellMar>
            <w:top w:w="0" w:type="dxa"/>
            <w:left w:w="108" w:type="dxa"/>
            <w:bottom w:w="0" w:type="dxa"/>
            <w:right w:w="108" w:type="dxa"/>
          </w:tblCellMar>
        </w:tblPrEx>
        <w:trPr>
          <w:trHeight w:val="567" w:hRule="atLeast"/>
          <w:jc w:val="center"/>
        </w:trPr>
        <w:tc>
          <w:tcPr>
            <w:tcW w:w="9132" w:type="dxa"/>
            <w:gridSpan w:val="4"/>
            <w:tcBorders>
              <w:top w:val="single" w:color="auto" w:sz="4" w:space="0"/>
              <w:left w:val="single" w:color="auto" w:sz="8" w:space="0"/>
              <w:bottom w:val="single" w:color="auto" w:sz="4" w:space="0"/>
              <w:right w:val="single" w:color="000000" w:sz="8" w:space="0"/>
            </w:tcBorders>
            <w:noWrap w:val="0"/>
            <w:vAlign w:val="top"/>
          </w:tcPr>
          <w:p w14:paraId="59037AB9">
            <w:pPr>
              <w:spacing w:line="240" w:lineRule="auto"/>
              <w:ind w:firstLine="0"/>
              <w:jc w:val="left"/>
              <w:rPr>
                <w:rFonts w:ascii="Times New Roman"/>
                <w:color w:val="000000"/>
                <w:szCs w:val="32"/>
              </w:rPr>
            </w:pPr>
            <w:r>
              <w:rPr>
                <w:rFonts w:ascii="Times New Roman"/>
                <w:color w:val="000000"/>
                <w:szCs w:val="32"/>
              </w:rPr>
              <w:t>采购人确认意见（签章）：</w:t>
            </w:r>
          </w:p>
          <w:p w14:paraId="46C0BDCC">
            <w:pPr>
              <w:spacing w:line="240" w:lineRule="auto"/>
              <w:ind w:firstLine="0"/>
              <w:jc w:val="left"/>
              <w:rPr>
                <w:rFonts w:ascii="Times New Roman"/>
                <w:color w:val="000000"/>
                <w:szCs w:val="32"/>
              </w:rPr>
            </w:pPr>
          </w:p>
          <w:p w14:paraId="1B4CD589">
            <w:pPr>
              <w:spacing w:line="240" w:lineRule="auto"/>
              <w:ind w:firstLine="0"/>
              <w:jc w:val="left"/>
              <w:rPr>
                <w:rFonts w:ascii="Times New Roman"/>
                <w:color w:val="000000"/>
                <w:szCs w:val="32"/>
              </w:rPr>
            </w:pPr>
          </w:p>
          <w:p w14:paraId="532B9FB9">
            <w:pPr>
              <w:spacing w:line="240" w:lineRule="auto"/>
              <w:ind w:firstLine="0"/>
              <w:jc w:val="left"/>
              <w:rPr>
                <w:rFonts w:ascii="Times New Roman"/>
                <w:color w:val="000000"/>
                <w:szCs w:val="32"/>
              </w:rPr>
            </w:pPr>
          </w:p>
          <w:p w14:paraId="37E80DF7">
            <w:pPr>
              <w:spacing w:line="240" w:lineRule="auto"/>
              <w:ind w:firstLine="0"/>
              <w:jc w:val="left"/>
              <w:rPr>
                <w:rFonts w:ascii="Times New Roman"/>
                <w:color w:val="000000"/>
                <w:szCs w:val="32"/>
              </w:rPr>
            </w:pPr>
          </w:p>
          <w:p w14:paraId="75527128">
            <w:pPr>
              <w:spacing w:line="240" w:lineRule="auto"/>
              <w:ind w:firstLine="0"/>
              <w:jc w:val="left"/>
              <w:rPr>
                <w:rFonts w:ascii="Times New Roman"/>
                <w:color w:val="000000"/>
                <w:szCs w:val="32"/>
              </w:rPr>
            </w:pPr>
            <w:r>
              <w:rPr>
                <w:rFonts w:ascii="Times New Roman"/>
                <w:color w:val="000000"/>
                <w:szCs w:val="32"/>
              </w:rPr>
              <w:t>　　</w:t>
            </w:r>
            <w:r>
              <w:rPr>
                <w:rFonts w:ascii="Times New Roman"/>
                <w:color w:val="000000"/>
                <w:szCs w:val="32"/>
              </w:rPr>
              <w:br w:type="textWrapping"/>
            </w:r>
            <w:r>
              <w:rPr>
                <w:rFonts w:ascii="Times New Roman"/>
                <w:color w:val="000000"/>
                <w:szCs w:val="32"/>
              </w:rPr>
              <w:t>　　　　　                              年    月    日</w:t>
            </w:r>
          </w:p>
        </w:tc>
      </w:tr>
    </w:tbl>
    <w:p w14:paraId="6B97462C">
      <w:pPr>
        <w:spacing w:line="520" w:lineRule="exact"/>
        <w:jc w:val="center"/>
        <w:outlineLvl w:val="0"/>
        <w:rPr>
          <w:rFonts w:hint="eastAsia" w:ascii="宋体" w:hAnsi="宋体" w:eastAsia="宋体" w:cs="宋体"/>
          <w:b/>
          <w:color w:val="000000"/>
          <w:sz w:val="72"/>
          <w:szCs w:val="72"/>
        </w:rPr>
      </w:pPr>
      <w:r>
        <w:rPr>
          <w:rFonts w:hint="eastAsia"/>
          <w:b/>
          <w:sz w:val="44"/>
          <w:szCs w:val="44"/>
        </w:rPr>
        <w:t>第六章 投标文件及格式</w:t>
      </w:r>
      <w:bookmarkEnd w:id="163"/>
      <w:bookmarkEnd w:id="164"/>
      <w:bookmarkEnd w:id="165"/>
    </w:p>
    <w:p w14:paraId="07C6CFB9">
      <w:pPr>
        <w:pStyle w:val="13"/>
        <w:spacing w:beforeAutospacing="0" w:afterAutospacing="0"/>
        <w:jc w:val="center"/>
        <w:rPr>
          <w:rFonts w:hint="eastAsia" w:ascii="宋体" w:hAnsi="宋体" w:eastAsia="宋体" w:cs="宋体"/>
          <w:b/>
          <w:color w:val="000000"/>
          <w:sz w:val="72"/>
          <w:szCs w:val="72"/>
        </w:rPr>
      </w:pPr>
    </w:p>
    <w:p w14:paraId="162B1309">
      <w:pPr>
        <w:pStyle w:val="13"/>
        <w:spacing w:beforeAutospacing="0" w:afterAutospacing="0"/>
        <w:jc w:val="center"/>
      </w:pPr>
      <w:r>
        <w:rPr>
          <w:rFonts w:hint="eastAsia" w:ascii="宋体" w:hAnsi="宋体" w:eastAsia="宋体" w:cs="宋体"/>
          <w:b/>
          <w:color w:val="000000"/>
          <w:sz w:val="72"/>
          <w:szCs w:val="72"/>
        </w:rPr>
        <w:t>投  标  文  件</w:t>
      </w:r>
    </w:p>
    <w:p w14:paraId="24F0E424">
      <w:pPr>
        <w:pStyle w:val="13"/>
        <w:spacing w:beforeAutospacing="0" w:afterAutospacing="0"/>
        <w:jc w:val="center"/>
      </w:pPr>
      <w:r>
        <w:t> </w:t>
      </w:r>
    </w:p>
    <w:p w14:paraId="0F4CADD2">
      <w:pPr>
        <w:pStyle w:val="13"/>
        <w:spacing w:beforeAutospacing="0" w:afterAutospacing="0"/>
        <w:jc w:val="center"/>
      </w:pPr>
      <w:r>
        <w:t> </w:t>
      </w:r>
    </w:p>
    <w:p w14:paraId="42A948AD">
      <w:pPr>
        <w:pStyle w:val="13"/>
        <w:spacing w:beforeAutospacing="0" w:afterAutospacing="0"/>
        <w:jc w:val="center"/>
      </w:pPr>
      <w:r>
        <w:t> </w:t>
      </w:r>
    </w:p>
    <w:p w14:paraId="3D018744">
      <w:pPr>
        <w:pStyle w:val="13"/>
        <w:spacing w:beforeAutospacing="0" w:afterAutospacing="0"/>
        <w:jc w:val="center"/>
      </w:pPr>
      <w:r>
        <w:t> </w:t>
      </w:r>
    </w:p>
    <w:p w14:paraId="28B1BE90">
      <w:pPr>
        <w:pStyle w:val="13"/>
        <w:spacing w:beforeAutospacing="0" w:afterAutospacing="0"/>
        <w:jc w:val="center"/>
      </w:pPr>
      <w:r>
        <w:t> </w:t>
      </w:r>
    </w:p>
    <w:p w14:paraId="6B42A93A">
      <w:pPr>
        <w:pStyle w:val="13"/>
        <w:spacing w:beforeAutospacing="0" w:afterAutospacing="0"/>
        <w:ind w:firstLine="1084"/>
        <w:jc w:val="both"/>
      </w:pPr>
      <w:r>
        <w:rPr>
          <w:rFonts w:hint="eastAsia" w:ascii="宋体" w:hAnsi="宋体" w:eastAsia="宋体" w:cs="宋体"/>
          <w:b/>
          <w:color w:val="000000"/>
          <w:sz w:val="36"/>
          <w:szCs w:val="36"/>
        </w:rPr>
        <w:t>项目 名 称：</w:t>
      </w:r>
      <w:r>
        <w:rPr>
          <w:rFonts w:hint="eastAsia" w:ascii="宋体" w:hAnsi="宋体" w:eastAsia="宋体" w:cs="宋体"/>
          <w:b/>
          <w:color w:val="000000"/>
          <w:sz w:val="36"/>
          <w:szCs w:val="36"/>
          <w:u w:val="single"/>
        </w:rPr>
        <w:t xml:space="preserve">               </w:t>
      </w:r>
    </w:p>
    <w:p w14:paraId="0AB313AA">
      <w:pPr>
        <w:pStyle w:val="13"/>
        <w:spacing w:beforeAutospacing="0" w:afterAutospacing="0"/>
        <w:ind w:firstLine="1084"/>
        <w:jc w:val="both"/>
      </w:pPr>
      <w:r>
        <w:rPr>
          <w:rFonts w:hint="eastAsia" w:ascii="宋体" w:hAnsi="宋体" w:eastAsia="宋体" w:cs="宋体"/>
          <w:b/>
          <w:color w:val="000000"/>
          <w:sz w:val="36"/>
          <w:szCs w:val="36"/>
        </w:rPr>
        <w:t>项目 编 号：</w:t>
      </w:r>
      <w:r>
        <w:rPr>
          <w:rFonts w:hint="eastAsia" w:ascii="宋体" w:hAnsi="宋体" w:eastAsia="宋体" w:cs="宋体"/>
          <w:b/>
          <w:color w:val="000000"/>
          <w:sz w:val="36"/>
          <w:szCs w:val="36"/>
          <w:u w:val="single"/>
        </w:rPr>
        <w:t xml:space="preserve">               </w:t>
      </w:r>
    </w:p>
    <w:p w14:paraId="6740CC54">
      <w:pPr>
        <w:pStyle w:val="13"/>
        <w:spacing w:beforeAutospacing="0" w:afterAutospacing="0"/>
        <w:jc w:val="both"/>
      </w:pPr>
      <w:r>
        <w:rPr>
          <w:rFonts w:hint="eastAsia" w:ascii="宋体" w:hAnsi="宋体" w:eastAsia="宋体" w:cs="宋体"/>
          <w:b/>
          <w:color w:val="000000"/>
          <w:sz w:val="36"/>
          <w:szCs w:val="36"/>
        </w:rPr>
        <w:t>   投标人名称：</w:t>
      </w:r>
      <w:r>
        <w:rPr>
          <w:rFonts w:hint="eastAsia" w:ascii="宋体" w:hAnsi="宋体" w:eastAsia="宋体" w:cs="宋体"/>
          <w:b/>
          <w:color w:val="000000"/>
          <w:sz w:val="36"/>
          <w:szCs w:val="36"/>
          <w:u w:val="single"/>
        </w:rPr>
        <w:t xml:space="preserve">（加盖CA电子公章）        </w:t>
      </w:r>
    </w:p>
    <w:p w14:paraId="37C94ABB">
      <w:pPr>
        <w:pStyle w:val="13"/>
        <w:spacing w:beforeAutospacing="0" w:afterAutospacing="0"/>
        <w:jc w:val="both"/>
      </w:pPr>
      <w:r>
        <w:rPr>
          <w:rFonts w:hint="eastAsia" w:ascii="宋体" w:hAnsi="宋体" w:eastAsia="宋体" w:cs="宋体"/>
          <w:b/>
          <w:color w:val="000000"/>
          <w:sz w:val="36"/>
          <w:szCs w:val="36"/>
        </w:rPr>
        <w:t>   日   期：</w:t>
      </w:r>
      <w:r>
        <w:rPr>
          <w:rFonts w:hint="eastAsia" w:ascii="宋体" w:hAnsi="宋体" w:eastAsia="宋体" w:cs="宋体"/>
          <w:b/>
          <w:color w:val="000000"/>
          <w:sz w:val="36"/>
          <w:szCs w:val="36"/>
          <w:u w:val="single"/>
        </w:rPr>
        <w:t>                     </w:t>
      </w:r>
    </w:p>
    <w:p w14:paraId="05B65D03">
      <w:pPr>
        <w:spacing w:line="480" w:lineRule="exact"/>
        <w:jc w:val="center"/>
        <w:rPr>
          <w:rFonts w:hint="eastAsia" w:ascii="宋体" w:hAnsi="宋体" w:cs="Segoe UI"/>
          <w:b/>
          <w:bCs/>
          <w:sz w:val="32"/>
          <w:szCs w:val="32"/>
        </w:rPr>
        <w:sectPr>
          <w:pgSz w:w="11906" w:h="16838"/>
          <w:pgMar w:top="1440" w:right="1587" w:bottom="1440" w:left="1587" w:header="851" w:footer="907" w:gutter="0"/>
          <w:cols w:space="720" w:num="1"/>
          <w:docGrid w:linePitch="360" w:charSpace="0"/>
        </w:sectPr>
      </w:pPr>
    </w:p>
    <w:p w14:paraId="6506A0E0">
      <w:pPr>
        <w:pStyle w:val="13"/>
        <w:spacing w:beforeAutospacing="0" w:afterAutospacing="0" w:line="0" w:lineRule="atLeast"/>
        <w:jc w:val="center"/>
      </w:pPr>
      <w:r>
        <w:rPr>
          <w:rFonts w:hint="eastAsia" w:ascii="宋体" w:hAnsi="宋体" w:eastAsia="宋体" w:cs="宋体"/>
          <w:b/>
          <w:color w:val="000000"/>
          <w:sz w:val="32"/>
          <w:szCs w:val="32"/>
        </w:rPr>
        <w:t>投标文件目录</w:t>
      </w:r>
    </w:p>
    <w:p w14:paraId="38065C65">
      <w:pPr>
        <w:pStyle w:val="13"/>
        <w:spacing w:beforeAutospacing="0" w:afterAutospacing="0" w:line="0" w:lineRule="atLeast"/>
        <w:jc w:val="center"/>
      </w:pPr>
      <w:r>
        <w:t> </w:t>
      </w:r>
    </w:p>
    <w:p w14:paraId="77DCF6EF">
      <w:pPr>
        <w:pStyle w:val="13"/>
        <w:keepNext w:val="0"/>
        <w:keepLines w:val="0"/>
        <w:pageBreakBefore w:val="0"/>
        <w:widowControl/>
        <w:spacing w:beforeAutospacing="0" w:afterAutospacing="0" w:line="380" w:lineRule="exact"/>
        <w:ind w:left="480"/>
        <w:jc w:val="both"/>
        <w:rPr>
          <w:rFonts w:hint="eastAsia" w:ascii="宋体" w:hAnsi="宋体" w:eastAsia="宋体" w:cs="宋体"/>
          <w:i w:val="0"/>
          <w:iCs/>
          <w:color w:val="000000"/>
          <w:sz w:val="22"/>
          <w:szCs w:val="22"/>
          <w:u w:val="none"/>
        </w:rPr>
      </w:pPr>
      <w:r>
        <w:rPr>
          <w:rFonts w:hint="eastAsia" w:cs="宋体"/>
          <w:i w:val="0"/>
          <w:iCs/>
          <w:color w:val="000000"/>
          <w:sz w:val="22"/>
          <w:szCs w:val="22"/>
          <w:u w:val="none"/>
          <w:lang w:eastAsia="zh-CN"/>
        </w:rPr>
        <w:t>文件</w:t>
      </w:r>
      <w:r>
        <w:rPr>
          <w:rFonts w:hint="eastAsia" w:cs="宋体"/>
          <w:i w:val="0"/>
          <w:iCs/>
          <w:color w:val="000000"/>
          <w:sz w:val="22"/>
          <w:szCs w:val="22"/>
          <w:u w:val="none"/>
          <w:lang w:val="en-US" w:eastAsia="zh-CN"/>
        </w:rPr>
        <w:t xml:space="preserve">1 </w:t>
      </w:r>
      <w:r>
        <w:rPr>
          <w:rFonts w:hint="eastAsia" w:ascii="宋体" w:hAnsi="宋体" w:eastAsia="宋体" w:cs="宋体"/>
          <w:i w:val="0"/>
          <w:iCs/>
          <w:color w:val="000000"/>
          <w:sz w:val="22"/>
          <w:szCs w:val="22"/>
          <w:u w:val="none"/>
        </w:rPr>
        <w:t>法人或者其他组织的营业执照等证明文件，自然人的身份证明</w:t>
      </w:r>
    </w:p>
    <w:p w14:paraId="4FF9EFB2">
      <w:pPr>
        <w:pStyle w:val="13"/>
        <w:keepNext w:val="0"/>
        <w:keepLines w:val="0"/>
        <w:pageBreakBefore w:val="0"/>
        <w:widowControl/>
        <w:spacing w:beforeAutospacing="0" w:afterAutospacing="0" w:line="380" w:lineRule="exact"/>
        <w:ind w:left="480"/>
        <w:jc w:val="both"/>
        <w:rPr>
          <w:rFonts w:hint="eastAsia" w:ascii="宋体" w:hAnsi="宋体" w:eastAsia="宋体" w:cs="宋体"/>
          <w:i w:val="0"/>
          <w:iCs/>
          <w:color w:val="000000"/>
          <w:sz w:val="22"/>
          <w:szCs w:val="22"/>
          <w:u w:val="none"/>
          <w:lang w:val="en-US" w:eastAsia="zh-CN"/>
        </w:rPr>
      </w:pPr>
      <w:r>
        <w:rPr>
          <w:rFonts w:hint="eastAsia" w:cs="宋体"/>
          <w:i w:val="0"/>
          <w:iCs/>
          <w:color w:val="000000"/>
          <w:sz w:val="22"/>
          <w:szCs w:val="22"/>
          <w:u w:val="none"/>
          <w:lang w:eastAsia="zh-CN"/>
        </w:rPr>
        <w:t>文件</w:t>
      </w:r>
      <w:r>
        <w:rPr>
          <w:rFonts w:hint="eastAsia" w:cs="宋体"/>
          <w:i w:val="0"/>
          <w:iCs/>
          <w:color w:val="000000"/>
          <w:sz w:val="22"/>
          <w:szCs w:val="22"/>
          <w:u w:val="none"/>
          <w:lang w:val="en-US" w:eastAsia="zh-CN"/>
        </w:rPr>
        <w:t xml:space="preserve">2 </w:t>
      </w:r>
      <w:r>
        <w:rPr>
          <w:rFonts w:hint="eastAsia" w:ascii="宋体" w:hAnsi="宋体" w:eastAsia="宋体" w:cs="宋体"/>
          <w:i w:val="0"/>
          <w:iCs/>
          <w:color w:val="000000"/>
          <w:sz w:val="22"/>
          <w:szCs w:val="22"/>
          <w:u w:val="none"/>
          <w:lang w:val="en-US" w:eastAsia="zh-CN"/>
        </w:rPr>
        <w:t>上一年度财务状况报表（投标人成立不满一年无需提供）</w:t>
      </w:r>
    </w:p>
    <w:p w14:paraId="6A2FF721">
      <w:pPr>
        <w:pStyle w:val="13"/>
        <w:keepNext w:val="0"/>
        <w:keepLines w:val="0"/>
        <w:pageBreakBefore w:val="0"/>
        <w:widowControl/>
        <w:spacing w:beforeAutospacing="0" w:afterAutospacing="0" w:line="380" w:lineRule="exact"/>
        <w:ind w:firstLine="440" w:firstLineChars="200"/>
        <w:jc w:val="both"/>
        <w:rPr>
          <w:rFonts w:hint="eastAsia" w:ascii="宋体" w:hAnsi="宋体" w:eastAsia="宋体" w:cs="宋体"/>
          <w:i w:val="0"/>
          <w:iCs/>
          <w:color w:val="000000"/>
          <w:sz w:val="22"/>
          <w:szCs w:val="22"/>
          <w:u w:val="none"/>
        </w:rPr>
      </w:pPr>
      <w:r>
        <w:rPr>
          <w:rFonts w:hint="eastAsia" w:cs="宋体"/>
          <w:i w:val="0"/>
          <w:iCs/>
          <w:color w:val="000000"/>
          <w:sz w:val="22"/>
          <w:szCs w:val="22"/>
          <w:u w:val="none"/>
          <w:lang w:eastAsia="zh-CN"/>
        </w:rPr>
        <w:t>文件</w:t>
      </w:r>
      <w:r>
        <w:rPr>
          <w:rFonts w:hint="eastAsia" w:cs="宋体"/>
          <w:i w:val="0"/>
          <w:iCs/>
          <w:color w:val="000000"/>
          <w:sz w:val="22"/>
          <w:szCs w:val="22"/>
          <w:u w:val="none"/>
          <w:lang w:val="en-US" w:eastAsia="zh-CN"/>
        </w:rPr>
        <w:t xml:space="preserve">3 </w:t>
      </w:r>
      <w:r>
        <w:rPr>
          <w:rFonts w:hint="eastAsia" w:ascii="宋体" w:hAnsi="宋体" w:eastAsia="宋体" w:cs="宋体"/>
          <w:i w:val="0"/>
          <w:iCs/>
          <w:color w:val="000000"/>
          <w:sz w:val="22"/>
          <w:szCs w:val="22"/>
          <w:u w:val="none"/>
        </w:rPr>
        <w:t>依法缴纳税收和社会保障资金的相关材料</w:t>
      </w:r>
    </w:p>
    <w:p w14:paraId="673497EE">
      <w:pPr>
        <w:pStyle w:val="13"/>
        <w:keepNext w:val="0"/>
        <w:keepLines w:val="0"/>
        <w:pageBreakBefore w:val="0"/>
        <w:widowControl/>
        <w:spacing w:beforeAutospacing="0" w:afterAutospacing="0" w:line="380" w:lineRule="exact"/>
        <w:ind w:left="480"/>
        <w:jc w:val="both"/>
        <w:rPr>
          <w:rFonts w:hint="eastAsia" w:ascii="宋体" w:hAnsi="宋体" w:eastAsia="宋体" w:cs="宋体"/>
          <w:i w:val="0"/>
          <w:iCs/>
          <w:color w:val="000000"/>
          <w:sz w:val="22"/>
          <w:szCs w:val="22"/>
          <w:u w:val="none"/>
        </w:rPr>
      </w:pPr>
      <w:r>
        <w:rPr>
          <w:rFonts w:hint="eastAsia" w:cs="宋体"/>
          <w:i w:val="0"/>
          <w:iCs/>
          <w:color w:val="000000"/>
          <w:sz w:val="22"/>
          <w:szCs w:val="22"/>
          <w:u w:val="none"/>
          <w:lang w:eastAsia="zh-CN"/>
        </w:rPr>
        <w:t>文件</w:t>
      </w:r>
      <w:r>
        <w:rPr>
          <w:rFonts w:hint="eastAsia" w:cs="宋体"/>
          <w:i w:val="0"/>
          <w:iCs/>
          <w:color w:val="000000"/>
          <w:sz w:val="22"/>
          <w:szCs w:val="22"/>
          <w:u w:val="none"/>
          <w:lang w:val="en-US" w:eastAsia="zh-CN"/>
        </w:rPr>
        <w:t xml:space="preserve">4 </w:t>
      </w:r>
      <w:r>
        <w:rPr>
          <w:rFonts w:hint="eastAsia" w:ascii="宋体" w:hAnsi="宋体" w:eastAsia="宋体" w:cs="宋体"/>
          <w:i w:val="0"/>
          <w:iCs/>
          <w:color w:val="000000"/>
          <w:sz w:val="22"/>
          <w:szCs w:val="22"/>
          <w:u w:val="none"/>
        </w:rPr>
        <w:t>具备履行合同所必需的设备和专业技术能力的书面声明</w:t>
      </w:r>
    </w:p>
    <w:p w14:paraId="02A0C4C4">
      <w:pPr>
        <w:spacing w:line="360" w:lineRule="auto"/>
        <w:ind w:firstLine="420"/>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lang w:val="en-US" w:eastAsia="zh-CN"/>
        </w:rPr>
        <w:t>1</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全自动打捞保洁船</w:t>
      </w:r>
      <w:r>
        <w:rPr>
          <w:rFonts w:hint="eastAsia" w:ascii="宋体" w:hAnsi="宋体" w:eastAsia="宋体" w:cs="宋体"/>
          <w:color w:val="auto"/>
          <w:sz w:val="22"/>
          <w:szCs w:val="22"/>
          <w:highlight w:val="none"/>
          <w:lang w:eastAsia="zh-CN"/>
        </w:rPr>
        <w:t>须提供市级及以上地方海事部门颁发的相关检验证书或出厂合格证明材料；</w:t>
      </w:r>
    </w:p>
    <w:p w14:paraId="382F24D0">
      <w:pPr>
        <w:spacing w:line="360" w:lineRule="auto"/>
        <w:ind w:firstLine="4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lang w:val="en-US" w:eastAsia="zh-CN"/>
        </w:rPr>
        <w:t>2</w:t>
      </w:r>
      <w:r>
        <w:rPr>
          <w:rFonts w:hint="eastAsia" w:ascii="宋体" w:hAnsi="宋体" w:eastAsia="宋体" w:cs="宋体"/>
          <w:color w:val="auto"/>
          <w:sz w:val="22"/>
          <w:szCs w:val="22"/>
          <w:highlight w:val="none"/>
          <w:lang w:eastAsia="zh-CN"/>
        </w:rPr>
        <w:t>）全自动打捞保洁船</w:t>
      </w:r>
      <w:r>
        <w:rPr>
          <w:rFonts w:hint="eastAsia" w:ascii="宋体" w:hAnsi="宋体" w:cs="宋体"/>
          <w:color w:val="auto"/>
          <w:sz w:val="22"/>
          <w:szCs w:val="22"/>
          <w:highlight w:val="none"/>
          <w:lang w:eastAsia="zh-CN"/>
        </w:rPr>
        <w:t>、</w:t>
      </w:r>
      <w:r>
        <w:rPr>
          <w:rFonts w:hint="eastAsia" w:ascii="宋体" w:hAnsi="宋体" w:cs="宋体"/>
          <w:color w:val="auto"/>
          <w:sz w:val="22"/>
          <w:szCs w:val="22"/>
          <w:highlight w:val="none"/>
          <w:lang w:val="en-US" w:eastAsia="zh-CN"/>
        </w:rPr>
        <w:t>挖掘机</w:t>
      </w:r>
      <w:r>
        <w:rPr>
          <w:rFonts w:hint="eastAsia" w:ascii="宋体" w:hAnsi="宋体" w:eastAsia="宋体" w:cs="宋体"/>
          <w:color w:val="auto"/>
          <w:sz w:val="22"/>
          <w:szCs w:val="22"/>
          <w:highlight w:val="none"/>
          <w:lang w:eastAsia="zh-CN"/>
        </w:rPr>
        <w:t>（自购需提供相关的购买发票</w:t>
      </w:r>
      <w:r>
        <w:rPr>
          <w:rFonts w:hint="eastAsia" w:ascii="宋体" w:hAnsi="宋体" w:cs="宋体"/>
          <w:color w:val="auto"/>
          <w:sz w:val="22"/>
          <w:szCs w:val="22"/>
          <w:highlight w:val="none"/>
          <w:lang w:val="en-US" w:eastAsia="zh-CN"/>
        </w:rPr>
        <w:t>原件</w:t>
      </w:r>
      <w:r>
        <w:rPr>
          <w:rFonts w:hint="eastAsia" w:ascii="宋体" w:hAnsi="宋体" w:eastAsia="宋体" w:cs="宋体"/>
          <w:color w:val="auto"/>
          <w:sz w:val="22"/>
          <w:szCs w:val="22"/>
          <w:highlight w:val="none"/>
          <w:lang w:eastAsia="zh-CN"/>
        </w:rPr>
        <w:t>扫描件，租赁的投标时需提供相关的租赁合同</w:t>
      </w:r>
      <w:r>
        <w:rPr>
          <w:rFonts w:hint="eastAsia" w:ascii="宋体" w:hAnsi="宋体" w:cs="宋体"/>
          <w:color w:val="auto"/>
          <w:sz w:val="22"/>
          <w:szCs w:val="22"/>
          <w:highlight w:val="none"/>
          <w:lang w:val="en-US" w:eastAsia="zh-CN"/>
        </w:rPr>
        <w:t>原件</w:t>
      </w:r>
      <w:r>
        <w:rPr>
          <w:rFonts w:hint="eastAsia" w:ascii="宋体" w:hAnsi="宋体" w:eastAsia="宋体" w:cs="宋体"/>
          <w:color w:val="auto"/>
          <w:sz w:val="22"/>
          <w:szCs w:val="22"/>
          <w:highlight w:val="none"/>
          <w:lang w:eastAsia="zh-CN"/>
        </w:rPr>
        <w:t>扫描件及所租赁物的购买发票</w:t>
      </w:r>
      <w:r>
        <w:rPr>
          <w:rFonts w:hint="eastAsia" w:ascii="宋体" w:hAnsi="宋体" w:cs="宋体"/>
          <w:color w:val="auto"/>
          <w:sz w:val="22"/>
          <w:szCs w:val="22"/>
          <w:highlight w:val="none"/>
          <w:lang w:val="en-US" w:eastAsia="zh-CN"/>
        </w:rPr>
        <w:t>原件</w:t>
      </w:r>
      <w:r>
        <w:rPr>
          <w:rFonts w:hint="eastAsia" w:ascii="宋体" w:hAnsi="宋体" w:eastAsia="宋体" w:cs="宋体"/>
          <w:color w:val="auto"/>
          <w:sz w:val="22"/>
          <w:szCs w:val="22"/>
          <w:highlight w:val="none"/>
          <w:lang w:eastAsia="zh-CN"/>
        </w:rPr>
        <w:t>扫描件，未提供相关材料证明或不符合要求</w:t>
      </w:r>
      <w:r>
        <w:rPr>
          <w:rFonts w:hint="eastAsia" w:ascii="宋体" w:hAnsi="宋体" w:cs="宋体"/>
          <w:color w:val="auto"/>
          <w:sz w:val="22"/>
          <w:szCs w:val="22"/>
          <w:highlight w:val="none"/>
          <w:lang w:val="en-US" w:eastAsia="zh-CN"/>
        </w:rPr>
        <w:t>作</w:t>
      </w:r>
      <w:r>
        <w:rPr>
          <w:rFonts w:hint="eastAsia" w:ascii="宋体" w:hAnsi="宋体" w:eastAsia="宋体" w:cs="宋体"/>
          <w:color w:val="auto"/>
          <w:sz w:val="22"/>
          <w:szCs w:val="22"/>
          <w:highlight w:val="none"/>
          <w:lang w:eastAsia="zh-CN"/>
        </w:rPr>
        <w:t>无效标书处理</w:t>
      </w:r>
      <w:r>
        <w:rPr>
          <w:rFonts w:hint="eastAsia" w:ascii="宋体" w:hAnsi="宋体" w:cs="宋体"/>
          <w:color w:val="auto"/>
          <w:sz w:val="22"/>
          <w:szCs w:val="22"/>
          <w:highlight w:val="none"/>
          <w:lang w:eastAsia="zh-CN"/>
        </w:rPr>
        <w:t>，运输船无需提供发票</w:t>
      </w:r>
      <w:r>
        <w:rPr>
          <w:rFonts w:hint="eastAsia" w:ascii="宋体" w:hAnsi="宋体" w:eastAsia="宋体" w:cs="宋体"/>
          <w:color w:val="auto"/>
          <w:sz w:val="22"/>
          <w:szCs w:val="22"/>
          <w:highlight w:val="none"/>
          <w:lang w:eastAsia="zh-CN"/>
        </w:rPr>
        <w:t>）</w:t>
      </w:r>
      <w:r>
        <w:rPr>
          <w:rFonts w:hint="eastAsia" w:ascii="宋体" w:hAnsi="宋体" w:cs="宋体"/>
          <w:color w:val="auto"/>
          <w:sz w:val="22"/>
          <w:szCs w:val="22"/>
          <w:highlight w:val="none"/>
          <w:lang w:eastAsia="zh-CN"/>
        </w:rPr>
        <w:t>；</w:t>
      </w:r>
    </w:p>
    <w:p w14:paraId="191368F4">
      <w:pPr>
        <w:spacing w:line="360" w:lineRule="auto"/>
        <w:ind w:firstLine="420"/>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lang w:val="en-US" w:eastAsia="zh-CN"/>
        </w:rPr>
        <w:t>3</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全自动打捞保洁船操作人员须提供市级及以上地方海事局颁发的《内河船舶船员适任证书》（</w:t>
      </w:r>
      <w:r>
        <w:rPr>
          <w:rFonts w:hint="eastAsia" w:ascii="宋体" w:hAnsi="宋体" w:cs="宋体"/>
          <w:color w:val="auto"/>
          <w:sz w:val="22"/>
          <w:szCs w:val="22"/>
          <w:highlight w:val="none"/>
          <w:lang w:val="en-US" w:eastAsia="zh-CN"/>
        </w:rPr>
        <w:t>原件</w:t>
      </w:r>
      <w:r>
        <w:rPr>
          <w:rFonts w:hint="eastAsia" w:ascii="宋体" w:hAnsi="宋体" w:eastAsia="宋体" w:cs="宋体"/>
          <w:color w:val="auto"/>
          <w:sz w:val="22"/>
          <w:szCs w:val="22"/>
          <w:highlight w:val="none"/>
          <w:lang w:eastAsia="zh-CN"/>
        </w:rPr>
        <w:t>扫描件</w:t>
      </w:r>
      <w:r>
        <w:rPr>
          <w:rFonts w:hint="eastAsia" w:ascii="宋体" w:hAnsi="宋体" w:eastAsia="宋体" w:cs="宋体"/>
          <w:color w:val="auto"/>
          <w:sz w:val="22"/>
          <w:szCs w:val="22"/>
          <w:highlight w:val="none"/>
        </w:rPr>
        <w:t>）</w:t>
      </w:r>
      <w:r>
        <w:rPr>
          <w:rFonts w:hint="eastAsia" w:ascii="宋体" w:hAnsi="宋体" w:cs="宋体"/>
          <w:color w:val="auto"/>
          <w:sz w:val="22"/>
          <w:szCs w:val="22"/>
          <w:highlight w:val="none"/>
          <w:lang w:eastAsia="zh-CN"/>
        </w:rPr>
        <w:t>。挖掘机操作人员须具有住建部门颁发的《建筑施工特种作业操作资格证》（原件扫描件）。</w:t>
      </w:r>
    </w:p>
    <w:p w14:paraId="79B5C5B1">
      <w:pPr>
        <w:spacing w:line="360" w:lineRule="auto"/>
        <w:ind w:firstLine="420"/>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文件5 参加政府采购活动前 3 年内在经营活动中没有重大违法记录的书面声明</w:t>
      </w:r>
    </w:p>
    <w:p w14:paraId="365720A2">
      <w:pPr>
        <w:keepNext w:val="0"/>
        <w:keepLines w:val="0"/>
        <w:pageBreakBefore w:val="0"/>
        <w:spacing w:line="380" w:lineRule="exact"/>
        <w:ind w:firstLine="440"/>
        <w:rPr>
          <w:rFonts w:hint="eastAsia" w:ascii="宋体" w:hAnsi="宋体" w:cs="宋体"/>
          <w:b w:val="0"/>
          <w:bCs w:val="0"/>
          <w:color w:val="auto"/>
          <w:sz w:val="22"/>
          <w:szCs w:val="22"/>
          <w:highlight w:val="none"/>
          <w:lang w:eastAsia="zh-CN"/>
        </w:rPr>
      </w:pPr>
      <w:r>
        <w:rPr>
          <w:rFonts w:hint="eastAsia" w:ascii="宋体" w:hAnsi="宋体" w:eastAsia="宋体" w:cs="宋体"/>
          <w:b w:val="0"/>
          <w:bCs w:val="0"/>
          <w:color w:val="auto"/>
          <w:sz w:val="22"/>
          <w:szCs w:val="22"/>
          <w:highlight w:val="none"/>
          <w:lang w:eastAsia="zh-CN"/>
        </w:rPr>
        <w:t>文件6 投标时，投标申请人须提供拟派的项目负责人、安全管理员从投标截止之日当月向前6个月内任意1个月的社保缴纳证明；安全管理员须提供相关安全管理证书</w:t>
      </w:r>
    </w:p>
    <w:p w14:paraId="10136943">
      <w:pPr>
        <w:keepNext w:val="0"/>
        <w:keepLines w:val="0"/>
        <w:pageBreakBefore w:val="0"/>
        <w:spacing w:line="380" w:lineRule="exact"/>
        <w:ind w:firstLine="440"/>
        <w:rPr>
          <w:rFonts w:hint="eastAsia" w:ascii="宋体" w:hAnsi="宋体" w:cs="宋体"/>
          <w:b w:val="0"/>
          <w:bCs w:val="0"/>
          <w:color w:val="0000FF"/>
          <w:sz w:val="22"/>
          <w:szCs w:val="22"/>
          <w:highlight w:val="none"/>
          <w:lang w:eastAsia="zh-CN"/>
        </w:rPr>
      </w:pPr>
      <w:r>
        <w:rPr>
          <w:rFonts w:hint="eastAsia" w:ascii="宋体" w:hAnsi="宋体" w:eastAsia="宋体" w:cs="宋体"/>
          <w:sz w:val="22"/>
          <w:szCs w:val="22"/>
        </w:rPr>
        <w:t>文件</w:t>
      </w:r>
      <w:r>
        <w:rPr>
          <w:rFonts w:hint="eastAsia" w:ascii="宋体" w:hAnsi="宋体" w:eastAsia="宋体" w:cs="宋体"/>
          <w:sz w:val="22"/>
          <w:szCs w:val="22"/>
          <w:lang w:val="en-US" w:eastAsia="zh-CN"/>
        </w:rPr>
        <w:t>7</w:t>
      </w:r>
      <w:r>
        <w:rPr>
          <w:rFonts w:hint="eastAsia" w:ascii="宋体" w:hAnsi="宋体" w:eastAsia="宋体" w:cs="宋体"/>
          <w:sz w:val="22"/>
          <w:szCs w:val="22"/>
        </w:rPr>
        <w:t xml:space="preserve"> 招标文件中规定要求提供的证明材料和投标人认为需要提供的其他材料</w:t>
      </w:r>
    </w:p>
    <w:p w14:paraId="4F3C9ABD">
      <w:pPr>
        <w:keepNext w:val="0"/>
        <w:keepLines w:val="0"/>
        <w:pageBreakBefore w:val="0"/>
        <w:spacing w:line="380" w:lineRule="exact"/>
        <w:ind w:firstLine="440"/>
        <w:rPr>
          <w:rFonts w:hint="eastAsia" w:ascii="宋体" w:hAnsi="宋体" w:eastAsia="宋体" w:cs="宋体"/>
          <w:b/>
          <w:bCs/>
          <w:sz w:val="22"/>
          <w:szCs w:val="22"/>
          <w:lang w:eastAsia="zh-CN"/>
        </w:rPr>
      </w:pPr>
      <w:r>
        <w:rPr>
          <w:rFonts w:hint="eastAsia" w:ascii="宋体" w:hAnsi="宋体" w:eastAsia="宋体" w:cs="宋体"/>
          <w:b/>
          <w:bCs/>
          <w:sz w:val="22"/>
          <w:szCs w:val="22"/>
          <w:highlight w:val="none"/>
          <w:lang w:eastAsia="zh-CN"/>
        </w:rPr>
        <w:t>注：以上材料</w:t>
      </w:r>
      <w:r>
        <w:rPr>
          <w:rFonts w:hint="eastAsia" w:ascii="宋体" w:hAnsi="宋体" w:cs="宋体"/>
          <w:b/>
          <w:bCs/>
          <w:sz w:val="22"/>
          <w:szCs w:val="22"/>
          <w:highlight w:val="none"/>
          <w:lang w:val="en-US" w:eastAsia="zh-CN"/>
        </w:rPr>
        <w:t>原件</w:t>
      </w:r>
      <w:r>
        <w:rPr>
          <w:rFonts w:hint="eastAsia" w:ascii="宋体" w:hAnsi="宋体" w:eastAsia="宋体" w:cs="宋体"/>
          <w:b/>
          <w:bCs/>
          <w:sz w:val="22"/>
          <w:szCs w:val="22"/>
          <w:highlight w:val="none"/>
          <w:lang w:eastAsia="zh-CN"/>
        </w:rPr>
        <w:t>扫描件须加盖投标单位公章，中标后将原件材料交采购人核查</w:t>
      </w:r>
      <w:r>
        <w:rPr>
          <w:rFonts w:hint="eastAsia" w:ascii="宋体" w:hAnsi="宋体" w:cs="宋体"/>
          <w:b/>
          <w:bCs/>
          <w:sz w:val="22"/>
          <w:szCs w:val="22"/>
          <w:highlight w:val="none"/>
          <w:lang w:eastAsia="zh-CN"/>
        </w:rPr>
        <w:t>。</w:t>
      </w:r>
    </w:p>
    <w:p w14:paraId="6453932A">
      <w:pPr>
        <w:pStyle w:val="13"/>
        <w:keepNext w:val="0"/>
        <w:keepLines w:val="0"/>
        <w:pageBreakBefore w:val="0"/>
        <w:widowControl/>
        <w:spacing w:beforeAutospacing="0" w:afterAutospacing="0" w:line="380" w:lineRule="exact"/>
        <w:ind w:left="480"/>
        <w:jc w:val="both"/>
        <w:rPr>
          <w:rFonts w:hint="eastAsia" w:ascii="宋体" w:hAnsi="宋体" w:eastAsia="宋体" w:cs="宋体"/>
          <w:i w:val="0"/>
          <w:iCs/>
          <w:color w:val="000000"/>
          <w:sz w:val="22"/>
          <w:szCs w:val="22"/>
          <w:u w:val="none"/>
        </w:rPr>
      </w:pPr>
      <w:r>
        <w:rPr>
          <w:rFonts w:hint="eastAsia" w:cs="宋体"/>
          <w:i w:val="0"/>
          <w:iCs/>
          <w:color w:val="000000"/>
          <w:sz w:val="22"/>
          <w:szCs w:val="22"/>
          <w:u w:val="none"/>
          <w:lang w:eastAsia="zh-CN"/>
        </w:rPr>
        <w:t>文件</w:t>
      </w:r>
      <w:r>
        <w:rPr>
          <w:rFonts w:hint="eastAsia" w:cs="宋体"/>
          <w:i w:val="0"/>
          <w:iCs/>
          <w:color w:val="000000"/>
          <w:sz w:val="22"/>
          <w:szCs w:val="22"/>
          <w:u w:val="none"/>
          <w:lang w:val="en-US" w:eastAsia="zh-CN"/>
        </w:rPr>
        <w:t xml:space="preserve">8 </w:t>
      </w:r>
      <w:r>
        <w:rPr>
          <w:rFonts w:hint="eastAsia" w:ascii="宋体" w:hAnsi="宋体" w:eastAsia="宋体" w:cs="宋体"/>
          <w:i w:val="0"/>
          <w:iCs/>
          <w:color w:val="000000"/>
          <w:sz w:val="22"/>
          <w:szCs w:val="22"/>
          <w:u w:val="none"/>
        </w:rPr>
        <w:t>法人授权书</w:t>
      </w:r>
    </w:p>
    <w:p w14:paraId="68A2105E">
      <w:pPr>
        <w:pStyle w:val="13"/>
        <w:keepNext w:val="0"/>
        <w:keepLines w:val="0"/>
        <w:pageBreakBefore w:val="0"/>
        <w:widowControl/>
        <w:spacing w:beforeAutospacing="0" w:afterAutospacing="0" w:line="380" w:lineRule="exact"/>
        <w:ind w:left="480"/>
        <w:jc w:val="both"/>
        <w:rPr>
          <w:rFonts w:hint="eastAsia" w:ascii="宋体" w:hAnsi="宋体" w:eastAsia="宋体" w:cs="宋体"/>
          <w:i w:val="0"/>
          <w:iCs/>
          <w:color w:val="000000"/>
          <w:sz w:val="22"/>
          <w:szCs w:val="22"/>
          <w:u w:val="none"/>
        </w:rPr>
      </w:pPr>
      <w:r>
        <w:rPr>
          <w:rFonts w:hint="eastAsia" w:cs="宋体"/>
          <w:i w:val="0"/>
          <w:iCs/>
          <w:color w:val="000000"/>
          <w:sz w:val="22"/>
          <w:szCs w:val="22"/>
          <w:u w:val="none"/>
          <w:lang w:eastAsia="zh-CN"/>
        </w:rPr>
        <w:t>文件</w:t>
      </w:r>
      <w:r>
        <w:rPr>
          <w:rFonts w:hint="eastAsia" w:cs="宋体"/>
          <w:i w:val="0"/>
          <w:iCs/>
          <w:color w:val="000000"/>
          <w:sz w:val="22"/>
          <w:szCs w:val="22"/>
          <w:u w:val="none"/>
          <w:lang w:val="en-US" w:eastAsia="zh-CN"/>
        </w:rPr>
        <w:t xml:space="preserve">9 </w:t>
      </w:r>
      <w:r>
        <w:rPr>
          <w:rFonts w:hint="eastAsia" w:ascii="宋体" w:hAnsi="宋体" w:eastAsia="宋体" w:cs="宋体"/>
          <w:i w:val="0"/>
          <w:iCs/>
          <w:color w:val="000000"/>
          <w:sz w:val="22"/>
          <w:szCs w:val="22"/>
          <w:u w:val="none"/>
        </w:rPr>
        <w:t>投标函</w:t>
      </w:r>
    </w:p>
    <w:p w14:paraId="2A4A54DC">
      <w:pPr>
        <w:pStyle w:val="13"/>
        <w:keepNext w:val="0"/>
        <w:keepLines w:val="0"/>
        <w:pageBreakBefore w:val="0"/>
        <w:widowControl/>
        <w:spacing w:beforeAutospacing="0" w:afterAutospacing="0" w:line="380" w:lineRule="exact"/>
        <w:ind w:left="480"/>
        <w:jc w:val="both"/>
        <w:rPr>
          <w:rFonts w:hint="eastAsia" w:ascii="宋体" w:hAnsi="宋体" w:eastAsia="宋体" w:cs="宋体"/>
          <w:i w:val="0"/>
          <w:iCs/>
          <w:color w:val="000000"/>
          <w:sz w:val="22"/>
          <w:szCs w:val="22"/>
          <w:u w:val="none"/>
        </w:rPr>
      </w:pPr>
      <w:r>
        <w:rPr>
          <w:rFonts w:hint="eastAsia" w:cs="宋体"/>
          <w:i w:val="0"/>
          <w:iCs/>
          <w:color w:val="000000"/>
          <w:sz w:val="22"/>
          <w:szCs w:val="22"/>
          <w:u w:val="none"/>
          <w:lang w:eastAsia="zh-CN"/>
        </w:rPr>
        <w:t>文件</w:t>
      </w:r>
      <w:r>
        <w:rPr>
          <w:rFonts w:hint="eastAsia" w:cs="宋体"/>
          <w:i w:val="0"/>
          <w:iCs/>
          <w:color w:val="000000"/>
          <w:sz w:val="22"/>
          <w:szCs w:val="22"/>
          <w:u w:val="none"/>
          <w:lang w:val="en-US" w:eastAsia="zh-CN"/>
        </w:rPr>
        <w:t>10 中</w:t>
      </w:r>
      <w:r>
        <w:rPr>
          <w:rFonts w:hint="eastAsia" w:ascii="宋体" w:hAnsi="宋体" w:eastAsia="宋体" w:cs="宋体"/>
          <w:i w:val="0"/>
          <w:iCs/>
          <w:color w:val="000000"/>
          <w:sz w:val="22"/>
          <w:szCs w:val="22"/>
          <w:u w:val="none"/>
        </w:rPr>
        <w:t>小微企业声明函</w:t>
      </w:r>
    </w:p>
    <w:p w14:paraId="17EA6BE3">
      <w:pPr>
        <w:pStyle w:val="13"/>
        <w:keepNext w:val="0"/>
        <w:keepLines w:val="0"/>
        <w:pageBreakBefore w:val="0"/>
        <w:widowControl/>
        <w:spacing w:beforeAutospacing="0" w:afterAutospacing="0" w:line="380" w:lineRule="exact"/>
        <w:ind w:left="480"/>
        <w:jc w:val="both"/>
        <w:rPr>
          <w:rFonts w:hint="eastAsia" w:ascii="宋体" w:hAnsi="宋体" w:eastAsia="宋体" w:cs="宋体"/>
          <w:i w:val="0"/>
          <w:iCs/>
          <w:color w:val="000000"/>
          <w:sz w:val="22"/>
          <w:szCs w:val="22"/>
          <w:u w:val="none"/>
          <w:lang w:val="en-US" w:eastAsia="zh-CN"/>
        </w:rPr>
      </w:pPr>
      <w:r>
        <w:rPr>
          <w:rFonts w:hint="eastAsia" w:cs="宋体"/>
          <w:i w:val="0"/>
          <w:iCs/>
          <w:color w:val="000000"/>
          <w:sz w:val="22"/>
          <w:szCs w:val="22"/>
          <w:u w:val="none"/>
          <w:lang w:eastAsia="zh-CN"/>
        </w:rPr>
        <w:t>文件</w:t>
      </w:r>
      <w:r>
        <w:rPr>
          <w:rFonts w:hint="eastAsia" w:cs="宋体"/>
          <w:i w:val="0"/>
          <w:iCs/>
          <w:color w:val="000000"/>
          <w:sz w:val="22"/>
          <w:szCs w:val="22"/>
          <w:u w:val="none"/>
          <w:lang w:val="en-US" w:eastAsia="zh-CN"/>
        </w:rPr>
        <w:t xml:space="preserve">11 </w:t>
      </w:r>
      <w:r>
        <w:rPr>
          <w:rFonts w:hint="eastAsia" w:ascii="宋体" w:hAnsi="宋体" w:eastAsia="宋体" w:cs="宋体"/>
          <w:i w:val="0"/>
          <w:iCs/>
          <w:color w:val="000000"/>
          <w:sz w:val="22"/>
          <w:szCs w:val="22"/>
          <w:u w:val="none"/>
        </w:rPr>
        <w:t>残疾人福利性单位声明函</w:t>
      </w:r>
      <w:r>
        <w:rPr>
          <w:rFonts w:hint="eastAsia" w:ascii="宋体" w:hAnsi="宋体" w:eastAsia="宋体" w:cs="宋体"/>
          <w:i w:val="0"/>
          <w:iCs/>
          <w:color w:val="000000"/>
          <w:sz w:val="22"/>
          <w:szCs w:val="22"/>
          <w:u w:val="none"/>
          <w:lang w:val="en-US" w:eastAsia="zh-CN"/>
        </w:rPr>
        <w:t>（如有）</w:t>
      </w:r>
    </w:p>
    <w:p w14:paraId="26BF9E19">
      <w:pPr>
        <w:pStyle w:val="13"/>
        <w:keepNext w:val="0"/>
        <w:keepLines w:val="0"/>
        <w:pageBreakBefore w:val="0"/>
        <w:widowControl/>
        <w:spacing w:beforeAutospacing="0" w:afterAutospacing="0" w:line="380" w:lineRule="exact"/>
        <w:ind w:left="480"/>
        <w:jc w:val="both"/>
        <w:rPr>
          <w:rFonts w:hint="eastAsia" w:ascii="宋体" w:hAnsi="宋体" w:eastAsia="宋体" w:cs="宋体"/>
          <w:i w:val="0"/>
          <w:iCs/>
          <w:color w:val="000000"/>
          <w:sz w:val="22"/>
          <w:szCs w:val="22"/>
          <w:u w:val="none"/>
        </w:rPr>
      </w:pPr>
      <w:r>
        <w:rPr>
          <w:rFonts w:hint="eastAsia" w:cs="宋体"/>
          <w:i w:val="0"/>
          <w:iCs/>
          <w:color w:val="000000"/>
          <w:sz w:val="22"/>
          <w:szCs w:val="22"/>
          <w:u w:val="none"/>
          <w:lang w:eastAsia="zh-CN"/>
        </w:rPr>
        <w:t>文件</w:t>
      </w:r>
      <w:r>
        <w:rPr>
          <w:rFonts w:hint="eastAsia" w:cs="宋体"/>
          <w:i w:val="0"/>
          <w:iCs/>
          <w:color w:val="000000"/>
          <w:sz w:val="22"/>
          <w:szCs w:val="22"/>
          <w:u w:val="none"/>
          <w:lang w:val="en-US" w:eastAsia="zh-CN"/>
        </w:rPr>
        <w:t xml:space="preserve">12 </w:t>
      </w:r>
      <w:r>
        <w:rPr>
          <w:rFonts w:hint="eastAsia" w:ascii="宋体" w:hAnsi="宋体" w:eastAsia="宋体" w:cs="宋体"/>
          <w:i w:val="0"/>
          <w:iCs/>
          <w:color w:val="000000"/>
          <w:sz w:val="22"/>
          <w:szCs w:val="22"/>
          <w:u w:val="none"/>
        </w:rPr>
        <w:t>商务要求响应及偏离表</w:t>
      </w:r>
    </w:p>
    <w:p w14:paraId="70D88DA4">
      <w:pPr>
        <w:pStyle w:val="13"/>
        <w:keepNext w:val="0"/>
        <w:keepLines w:val="0"/>
        <w:pageBreakBefore w:val="0"/>
        <w:widowControl/>
        <w:spacing w:beforeAutospacing="0" w:afterAutospacing="0" w:line="380" w:lineRule="exact"/>
        <w:ind w:left="480"/>
        <w:jc w:val="both"/>
        <w:rPr>
          <w:rFonts w:hint="eastAsia" w:ascii="宋体" w:hAnsi="宋体" w:eastAsia="宋体" w:cs="宋体"/>
          <w:i w:val="0"/>
          <w:iCs/>
          <w:color w:val="000000"/>
          <w:sz w:val="22"/>
          <w:szCs w:val="22"/>
          <w:u w:val="none"/>
        </w:rPr>
      </w:pPr>
      <w:r>
        <w:rPr>
          <w:rFonts w:hint="eastAsia" w:cs="宋体"/>
          <w:i w:val="0"/>
          <w:iCs/>
          <w:color w:val="000000"/>
          <w:sz w:val="22"/>
          <w:szCs w:val="22"/>
          <w:u w:val="none"/>
          <w:lang w:eastAsia="zh-CN"/>
        </w:rPr>
        <w:t>文件</w:t>
      </w:r>
      <w:r>
        <w:rPr>
          <w:rFonts w:hint="eastAsia" w:cs="宋体"/>
          <w:i w:val="0"/>
          <w:iCs/>
          <w:color w:val="000000"/>
          <w:sz w:val="22"/>
          <w:szCs w:val="22"/>
          <w:u w:val="none"/>
          <w:lang w:val="en-US" w:eastAsia="zh-CN"/>
        </w:rPr>
        <w:t xml:space="preserve">13  </w:t>
      </w:r>
      <w:r>
        <w:rPr>
          <w:rFonts w:hint="eastAsia" w:ascii="宋体" w:hAnsi="宋体" w:eastAsia="宋体" w:cs="宋体"/>
          <w:i w:val="0"/>
          <w:iCs/>
          <w:color w:val="000000"/>
          <w:sz w:val="22"/>
          <w:szCs w:val="22"/>
          <w:u w:val="none"/>
        </w:rPr>
        <w:t>开标一览表</w:t>
      </w:r>
    </w:p>
    <w:p w14:paraId="7FF5F872">
      <w:pPr>
        <w:pStyle w:val="13"/>
        <w:keepNext w:val="0"/>
        <w:keepLines w:val="0"/>
        <w:pageBreakBefore w:val="0"/>
        <w:widowControl/>
        <w:spacing w:beforeAutospacing="0" w:afterAutospacing="0" w:line="380" w:lineRule="exact"/>
        <w:ind w:left="480"/>
        <w:jc w:val="both"/>
        <w:rPr>
          <w:rFonts w:hint="eastAsia" w:ascii="宋体" w:hAnsi="宋体" w:eastAsia="宋体" w:cs="宋体"/>
          <w:i w:val="0"/>
          <w:iCs/>
          <w:color w:val="000000"/>
          <w:sz w:val="22"/>
          <w:szCs w:val="22"/>
          <w:u w:val="none"/>
        </w:rPr>
      </w:pPr>
      <w:r>
        <w:rPr>
          <w:rFonts w:hint="eastAsia" w:cs="宋体"/>
          <w:i w:val="0"/>
          <w:iCs/>
          <w:color w:val="000000"/>
          <w:sz w:val="22"/>
          <w:szCs w:val="22"/>
          <w:u w:val="none"/>
          <w:lang w:eastAsia="zh-CN"/>
        </w:rPr>
        <w:t>文件</w:t>
      </w:r>
      <w:r>
        <w:rPr>
          <w:rFonts w:hint="eastAsia" w:cs="宋体"/>
          <w:i w:val="0"/>
          <w:iCs/>
          <w:color w:val="000000"/>
          <w:sz w:val="22"/>
          <w:szCs w:val="22"/>
          <w:u w:val="none"/>
          <w:lang w:val="en-US" w:eastAsia="zh-CN"/>
        </w:rPr>
        <w:t xml:space="preserve">14 </w:t>
      </w:r>
      <w:r>
        <w:rPr>
          <w:rFonts w:hint="eastAsia" w:ascii="宋体" w:hAnsi="宋体" w:eastAsia="宋体" w:cs="宋体"/>
          <w:i w:val="0"/>
          <w:iCs/>
          <w:color w:val="000000"/>
          <w:sz w:val="22"/>
          <w:szCs w:val="22"/>
          <w:u w:val="none"/>
        </w:rPr>
        <w:t>技术方案、服务承诺、项目管理配备及企业能力等内容</w:t>
      </w:r>
    </w:p>
    <w:p w14:paraId="5F2B3519">
      <w:pPr>
        <w:pStyle w:val="13"/>
        <w:keepNext w:val="0"/>
        <w:keepLines w:val="0"/>
        <w:pageBreakBefore w:val="0"/>
        <w:widowControl/>
        <w:spacing w:beforeAutospacing="0" w:afterAutospacing="0" w:line="380" w:lineRule="exact"/>
        <w:ind w:left="480"/>
        <w:jc w:val="both"/>
        <w:rPr>
          <w:rFonts w:hint="eastAsia" w:ascii="宋体" w:hAnsi="宋体" w:eastAsia="宋体" w:cs="宋体"/>
          <w:i w:val="0"/>
          <w:iCs/>
          <w:color w:val="000000"/>
          <w:sz w:val="22"/>
          <w:szCs w:val="22"/>
          <w:u w:val="none"/>
        </w:rPr>
      </w:pPr>
      <w:r>
        <w:rPr>
          <w:rFonts w:hint="eastAsia" w:cs="宋体"/>
          <w:i w:val="0"/>
          <w:iCs/>
          <w:color w:val="000000"/>
          <w:sz w:val="22"/>
          <w:szCs w:val="22"/>
          <w:u w:val="none"/>
          <w:lang w:eastAsia="zh-CN"/>
        </w:rPr>
        <w:t>文件</w:t>
      </w:r>
      <w:r>
        <w:rPr>
          <w:rFonts w:hint="eastAsia" w:cs="宋体"/>
          <w:i w:val="0"/>
          <w:iCs/>
          <w:color w:val="000000"/>
          <w:sz w:val="22"/>
          <w:szCs w:val="22"/>
          <w:u w:val="none"/>
          <w:lang w:val="en-US" w:eastAsia="zh-CN"/>
        </w:rPr>
        <w:t xml:space="preserve">15 </w:t>
      </w:r>
      <w:r>
        <w:rPr>
          <w:rFonts w:hint="eastAsia" w:ascii="宋体" w:hAnsi="宋体" w:eastAsia="宋体" w:cs="宋体"/>
          <w:i w:val="0"/>
          <w:iCs/>
          <w:color w:val="000000"/>
          <w:sz w:val="22"/>
          <w:szCs w:val="22"/>
          <w:u w:val="none"/>
        </w:rPr>
        <w:t>盐城市政府采购事前信用承诺书</w:t>
      </w:r>
    </w:p>
    <w:p w14:paraId="1DB12FD4">
      <w:pPr>
        <w:pStyle w:val="13"/>
        <w:spacing w:beforeAutospacing="0" w:afterAutospacing="0" w:line="0" w:lineRule="atLeast"/>
        <w:jc w:val="both"/>
        <w:rPr>
          <w:rFonts w:hint="eastAsia" w:ascii="黑体" w:hAnsi="黑体" w:eastAsia="黑体" w:cs="黑体"/>
          <w:b/>
          <w:sz w:val="36"/>
          <w:szCs w:val="36"/>
          <w:lang w:val="en-US" w:eastAsia="zh-CN"/>
        </w:rPr>
      </w:pPr>
    </w:p>
    <w:p w14:paraId="5C694BB7">
      <w:pPr>
        <w:pStyle w:val="13"/>
        <w:spacing w:beforeAutospacing="0" w:afterAutospacing="0" w:line="0" w:lineRule="atLeast"/>
        <w:ind w:firstLine="480"/>
        <w:jc w:val="center"/>
        <w:rPr>
          <w:rFonts w:hint="eastAsia" w:ascii="黑体" w:hAnsi="黑体" w:eastAsia="黑体" w:cs="黑体"/>
          <w:b/>
          <w:sz w:val="36"/>
          <w:szCs w:val="36"/>
          <w:lang w:val="en-US" w:eastAsia="zh-CN"/>
        </w:rPr>
      </w:pPr>
    </w:p>
    <w:p w14:paraId="4C2B9ACE">
      <w:pPr>
        <w:pStyle w:val="13"/>
        <w:spacing w:beforeAutospacing="0" w:afterAutospacing="0" w:line="0" w:lineRule="atLeast"/>
        <w:ind w:firstLine="480"/>
        <w:jc w:val="center"/>
        <w:rPr>
          <w:rFonts w:hint="eastAsia" w:ascii="黑体" w:hAnsi="黑体" w:eastAsia="黑体" w:cs="黑体"/>
          <w:b/>
          <w:sz w:val="36"/>
          <w:szCs w:val="36"/>
        </w:rPr>
      </w:pPr>
      <w:r>
        <w:rPr>
          <w:rFonts w:hint="eastAsia" w:ascii="黑体" w:hAnsi="黑体" w:eastAsia="黑体" w:cs="黑体"/>
          <w:b/>
          <w:sz w:val="36"/>
          <w:szCs w:val="36"/>
          <w:lang w:val="en-US" w:eastAsia="zh-CN"/>
        </w:rPr>
        <w:t>（一）</w:t>
      </w:r>
      <w:r>
        <w:rPr>
          <w:rFonts w:hint="eastAsia" w:ascii="黑体" w:hAnsi="黑体" w:eastAsia="黑体" w:cs="黑体"/>
          <w:b/>
          <w:sz w:val="36"/>
          <w:szCs w:val="36"/>
        </w:rPr>
        <w:t>法人或者其他组织的营业执照等证明文件，自然人的身份证明</w:t>
      </w:r>
    </w:p>
    <w:p w14:paraId="144DA2B3">
      <w:pPr>
        <w:pStyle w:val="13"/>
        <w:spacing w:beforeAutospacing="0" w:afterAutospacing="0" w:line="0" w:lineRule="atLeast"/>
        <w:jc w:val="both"/>
        <w:rPr>
          <w:rFonts w:hint="eastAsia" w:ascii="黑体" w:hAnsi="黑体" w:eastAsia="黑体" w:cs="黑体"/>
          <w:b/>
          <w:sz w:val="36"/>
          <w:szCs w:val="36"/>
          <w:lang w:val="en-US" w:eastAsia="zh-CN"/>
        </w:rPr>
      </w:pPr>
    </w:p>
    <w:p w14:paraId="525636A3">
      <w:pPr>
        <w:jc w:val="center"/>
        <w:rPr>
          <w:rFonts w:hint="eastAsia" w:ascii="黑体" w:hAnsi="黑体" w:eastAsia="黑体" w:cs="黑体"/>
          <w:b/>
          <w:sz w:val="36"/>
          <w:szCs w:val="36"/>
        </w:rPr>
      </w:pPr>
      <w:r>
        <w:rPr>
          <w:rFonts w:hint="eastAsia" w:ascii="黑体" w:hAnsi="黑体" w:eastAsia="黑体" w:cs="黑体"/>
          <w:b/>
          <w:sz w:val="36"/>
          <w:szCs w:val="36"/>
        </w:rPr>
        <w:t>法定代表人身份证明书</w:t>
      </w:r>
    </w:p>
    <w:p w14:paraId="0EC028E9">
      <w:pPr>
        <w:rPr>
          <w:rFonts w:ascii="宋体" w:hAnsi="宋体"/>
          <w:sz w:val="32"/>
        </w:rPr>
      </w:pPr>
    </w:p>
    <w:p w14:paraId="304BD269">
      <w:pPr>
        <w:rPr>
          <w:rFonts w:ascii="宋体" w:hAnsi="宋体"/>
          <w:sz w:val="24"/>
        </w:rPr>
      </w:pPr>
    </w:p>
    <w:p w14:paraId="72CC34AA">
      <w:pPr>
        <w:ind w:firstLine="960"/>
        <w:rPr>
          <w:rFonts w:ascii="宋体" w:hAnsi="宋体"/>
          <w:sz w:val="24"/>
          <w:u w:val="single"/>
        </w:rPr>
      </w:pPr>
      <w:r>
        <w:rPr>
          <w:rFonts w:hint="eastAsia" w:ascii="宋体" w:hAnsi="宋体"/>
          <w:sz w:val="24"/>
        </w:rPr>
        <w:t>单位名称：</w:t>
      </w:r>
      <w:r>
        <w:rPr>
          <w:rFonts w:hint="eastAsia" w:ascii="宋体" w:hAnsi="宋体"/>
          <w:sz w:val="24"/>
          <w:u w:val="single"/>
        </w:rPr>
        <w:t xml:space="preserve">                                                  </w:t>
      </w:r>
    </w:p>
    <w:p w14:paraId="6E9EDF3E">
      <w:pPr>
        <w:rPr>
          <w:rFonts w:ascii="宋体" w:hAnsi="宋体"/>
          <w:sz w:val="24"/>
          <w:u w:val="single"/>
        </w:rPr>
      </w:pPr>
    </w:p>
    <w:p w14:paraId="3586E380">
      <w:pPr>
        <w:ind w:firstLine="960"/>
        <w:rPr>
          <w:rFonts w:ascii="宋体" w:hAnsi="宋体"/>
          <w:sz w:val="24"/>
        </w:rPr>
      </w:pPr>
      <w:r>
        <w:rPr>
          <w:rFonts w:hint="eastAsia" w:ascii="宋体" w:hAnsi="宋体"/>
          <w:sz w:val="24"/>
        </w:rPr>
        <w:t>单位性质：</w:t>
      </w:r>
      <w:r>
        <w:rPr>
          <w:rFonts w:hint="eastAsia" w:ascii="宋体" w:hAnsi="宋体"/>
          <w:sz w:val="24"/>
          <w:u w:val="single"/>
        </w:rPr>
        <w:t xml:space="preserve">                                                 </w:t>
      </w:r>
      <w:r>
        <w:rPr>
          <w:rFonts w:hint="eastAsia" w:ascii="宋体" w:hAnsi="宋体"/>
          <w:sz w:val="24"/>
        </w:rPr>
        <w:t xml:space="preserve"> </w:t>
      </w:r>
    </w:p>
    <w:p w14:paraId="1F090480">
      <w:pPr>
        <w:rPr>
          <w:rFonts w:ascii="宋体" w:hAnsi="宋体"/>
          <w:sz w:val="24"/>
          <w:u w:val="single"/>
        </w:rPr>
      </w:pPr>
      <w:r>
        <w:rPr>
          <w:rFonts w:hint="eastAsia" w:ascii="宋体" w:hAnsi="宋体"/>
          <w:sz w:val="24"/>
        </w:rPr>
        <w:t xml:space="preserve">                          </w:t>
      </w:r>
    </w:p>
    <w:p w14:paraId="37BB730A">
      <w:pPr>
        <w:ind w:firstLine="960"/>
        <w:rPr>
          <w:rFonts w:ascii="宋体" w:hAnsi="宋体"/>
          <w:sz w:val="24"/>
          <w:u w:val="single"/>
        </w:rPr>
      </w:pPr>
      <w:r>
        <w:rPr>
          <w:rFonts w:hint="eastAsia" w:ascii="宋体" w:hAnsi="宋体"/>
          <w:sz w:val="24"/>
        </w:rPr>
        <w:t>地    址：</w:t>
      </w:r>
      <w:r>
        <w:rPr>
          <w:rFonts w:hint="eastAsia" w:ascii="宋体" w:hAnsi="宋体"/>
          <w:sz w:val="24"/>
          <w:u w:val="single"/>
        </w:rPr>
        <w:t xml:space="preserve">                                                 </w:t>
      </w:r>
    </w:p>
    <w:p w14:paraId="7FAAFEA5">
      <w:pPr>
        <w:rPr>
          <w:rFonts w:ascii="宋体" w:hAnsi="宋体"/>
          <w:sz w:val="24"/>
          <w:u w:val="single"/>
        </w:rPr>
      </w:pPr>
    </w:p>
    <w:p w14:paraId="6ABA0ACC">
      <w:pPr>
        <w:ind w:firstLine="960"/>
        <w:rPr>
          <w:rFonts w:ascii="宋体" w:hAnsi="宋体"/>
          <w:sz w:val="24"/>
        </w:rPr>
      </w:pPr>
      <w:r>
        <w:rPr>
          <w:rFonts w:hint="eastAsia" w:ascii="宋体" w:hAnsi="宋体"/>
          <w:sz w:val="24"/>
        </w:rPr>
        <w:t>成立时间：</w:t>
      </w:r>
      <w:r>
        <w:rPr>
          <w:rFonts w:hint="eastAsia" w:ascii="宋体" w:hAnsi="宋体"/>
          <w:sz w:val="24"/>
          <w:u w:val="single"/>
        </w:rPr>
        <w:t xml:space="preserve">            </w:t>
      </w:r>
      <w:r>
        <w:rPr>
          <w:rFonts w:hint="eastAsia" w:ascii="宋体" w:hAnsi="宋体"/>
          <w:sz w:val="24"/>
        </w:rPr>
        <w:t>年</w:t>
      </w:r>
      <w:r>
        <w:rPr>
          <w:rFonts w:hint="eastAsia" w:ascii="宋体" w:hAnsi="宋体"/>
          <w:sz w:val="24"/>
          <w:u w:val="single"/>
        </w:rPr>
        <w:t xml:space="preserve">           </w:t>
      </w:r>
      <w:r>
        <w:rPr>
          <w:rFonts w:hint="eastAsia" w:ascii="宋体" w:hAnsi="宋体"/>
          <w:sz w:val="24"/>
        </w:rPr>
        <w:t>月</w:t>
      </w:r>
      <w:r>
        <w:rPr>
          <w:rFonts w:hint="eastAsia" w:ascii="宋体" w:hAnsi="宋体"/>
          <w:sz w:val="24"/>
          <w:u w:val="single"/>
        </w:rPr>
        <w:t xml:space="preserve">           </w:t>
      </w:r>
      <w:r>
        <w:rPr>
          <w:rFonts w:hint="eastAsia" w:ascii="宋体" w:hAnsi="宋体"/>
          <w:sz w:val="24"/>
        </w:rPr>
        <w:t xml:space="preserve">日 </w:t>
      </w:r>
    </w:p>
    <w:p w14:paraId="2F43BC03">
      <w:pPr>
        <w:rPr>
          <w:rFonts w:ascii="宋体" w:hAnsi="宋体"/>
          <w:sz w:val="24"/>
        </w:rPr>
      </w:pPr>
      <w:r>
        <w:rPr>
          <w:rFonts w:hint="eastAsia" w:ascii="宋体" w:hAnsi="宋体"/>
          <w:sz w:val="24"/>
        </w:rPr>
        <w:t xml:space="preserve"> </w:t>
      </w:r>
    </w:p>
    <w:p w14:paraId="7C5A068D">
      <w:pPr>
        <w:ind w:firstLine="960"/>
        <w:rPr>
          <w:rFonts w:ascii="宋体" w:hAnsi="宋体"/>
          <w:sz w:val="24"/>
          <w:u w:val="single"/>
        </w:rPr>
      </w:pPr>
      <w:r>
        <w:rPr>
          <w:rFonts w:hint="eastAsia" w:ascii="宋体" w:hAnsi="宋体"/>
          <w:sz w:val="24"/>
        </w:rPr>
        <w:t>经营期限：</w:t>
      </w:r>
      <w:r>
        <w:rPr>
          <w:rFonts w:hint="eastAsia" w:ascii="宋体" w:hAnsi="宋体"/>
          <w:sz w:val="24"/>
          <w:u w:val="single"/>
        </w:rPr>
        <w:t xml:space="preserve">                                        </w:t>
      </w:r>
    </w:p>
    <w:p w14:paraId="41D68893">
      <w:pPr>
        <w:rPr>
          <w:rFonts w:ascii="宋体" w:hAnsi="宋体"/>
          <w:sz w:val="24"/>
          <w:u w:val="single"/>
        </w:rPr>
      </w:pPr>
    </w:p>
    <w:p w14:paraId="33560BFD">
      <w:pPr>
        <w:ind w:left="3598" w:hanging="2760"/>
        <w:rPr>
          <w:rFonts w:ascii="宋体" w:hAnsi="宋体"/>
          <w:sz w:val="24"/>
          <w:u w:val="single"/>
        </w:rPr>
      </w:pPr>
      <w:r>
        <w:rPr>
          <w:rFonts w:hint="eastAsia" w:ascii="宋体" w:hAnsi="宋体"/>
          <w:sz w:val="24"/>
        </w:rPr>
        <w:t>姓    名：</w:t>
      </w:r>
      <w:r>
        <w:rPr>
          <w:rFonts w:hint="eastAsia" w:ascii="宋体" w:hAnsi="宋体"/>
          <w:sz w:val="24"/>
          <w:u w:val="single"/>
        </w:rPr>
        <w:t xml:space="preserve">          </w:t>
      </w:r>
      <w:r>
        <w:rPr>
          <w:rFonts w:hint="eastAsia" w:ascii="宋体" w:hAnsi="宋体"/>
          <w:sz w:val="24"/>
        </w:rPr>
        <w:t xml:space="preserve"> 联系电话：</w:t>
      </w:r>
      <w:r>
        <w:rPr>
          <w:rFonts w:hint="eastAsia" w:ascii="宋体" w:hAnsi="宋体"/>
          <w:sz w:val="24"/>
          <w:u w:val="single"/>
        </w:rPr>
        <w:t xml:space="preserve">             </w:t>
      </w:r>
      <w:r>
        <w:rPr>
          <w:rFonts w:hint="eastAsia" w:ascii="宋体" w:hAnsi="宋体"/>
          <w:sz w:val="24"/>
        </w:rPr>
        <w:t xml:space="preserve"> 身份证号：</w:t>
      </w:r>
      <w:r>
        <w:rPr>
          <w:rFonts w:hint="eastAsia" w:ascii="宋体" w:hAnsi="宋体"/>
          <w:sz w:val="24"/>
          <w:u w:val="single"/>
        </w:rPr>
        <w:t xml:space="preserve">                      </w:t>
      </w:r>
    </w:p>
    <w:p w14:paraId="6DBA5389">
      <w:pPr>
        <w:rPr>
          <w:rFonts w:ascii="宋体" w:hAnsi="宋体"/>
          <w:sz w:val="24"/>
        </w:rPr>
      </w:pPr>
    </w:p>
    <w:p w14:paraId="107D73B0">
      <w:pPr>
        <w:ind w:firstLine="720"/>
        <w:rPr>
          <w:rFonts w:ascii="宋体" w:hAnsi="宋体"/>
          <w:sz w:val="24"/>
        </w:rPr>
      </w:pPr>
      <w:r>
        <w:rPr>
          <w:rFonts w:hint="eastAsia" w:ascii="宋体" w:hAnsi="宋体"/>
          <w:sz w:val="24"/>
        </w:rPr>
        <w:t>系</w:t>
      </w:r>
      <w:r>
        <w:rPr>
          <w:rFonts w:hint="eastAsia" w:ascii="宋体" w:hAnsi="宋体"/>
          <w:sz w:val="24"/>
          <w:u w:val="single"/>
        </w:rPr>
        <w:t xml:space="preserve">                   （投标单位名称)</w:t>
      </w:r>
      <w:r>
        <w:rPr>
          <w:rFonts w:hint="eastAsia" w:ascii="宋体" w:hAnsi="宋体"/>
          <w:sz w:val="24"/>
        </w:rPr>
        <w:t>的法定代表人或单位负责人。</w:t>
      </w:r>
    </w:p>
    <w:p w14:paraId="2A92965E">
      <w:pPr>
        <w:rPr>
          <w:rFonts w:ascii="宋体" w:hAnsi="宋体"/>
          <w:sz w:val="24"/>
        </w:rPr>
      </w:pPr>
    </w:p>
    <w:p w14:paraId="7516EBF9">
      <w:pPr>
        <w:rPr>
          <w:rFonts w:ascii="宋体" w:hAnsi="宋体"/>
          <w:sz w:val="24"/>
        </w:rPr>
      </w:pPr>
      <w:r>
        <w:rPr>
          <w:rFonts w:hint="eastAsia" w:ascii="宋体" w:hAnsi="宋体"/>
          <w:sz w:val="24"/>
        </w:rPr>
        <w:t>特此证明。</w:t>
      </w:r>
    </w:p>
    <w:p w14:paraId="05602F89">
      <w:pPr>
        <w:rPr>
          <w:rFonts w:ascii="宋体" w:hAnsi="宋体"/>
          <w:sz w:val="24"/>
        </w:rPr>
      </w:pPr>
    </w:p>
    <w:p w14:paraId="1B5A8E31">
      <w:pPr>
        <w:ind w:firstLine="4440"/>
        <w:rPr>
          <w:rFonts w:ascii="宋体" w:hAnsi="宋体"/>
          <w:sz w:val="24"/>
          <w:u w:val="single"/>
        </w:rPr>
      </w:pPr>
      <w:r>
        <w:rPr>
          <w:rFonts w:hint="eastAsia" w:ascii="宋体" w:hAnsi="宋体"/>
          <w:sz w:val="24"/>
        </w:rPr>
        <w:t>投标单位(公章) ：</w:t>
      </w:r>
      <w:r>
        <w:rPr>
          <w:rFonts w:hint="eastAsia" w:ascii="宋体" w:hAnsi="宋体"/>
          <w:sz w:val="24"/>
          <w:u w:val="single"/>
        </w:rPr>
        <w:t xml:space="preserve">                </w:t>
      </w:r>
    </w:p>
    <w:p w14:paraId="16B8F0C0">
      <w:pPr>
        <w:rPr>
          <w:rFonts w:ascii="宋体" w:hAnsi="宋体"/>
          <w:sz w:val="24"/>
          <w:u w:val="single"/>
        </w:rPr>
      </w:pPr>
    </w:p>
    <w:p w14:paraId="28B887DC">
      <w:pPr>
        <w:rPr>
          <w:rFonts w:ascii="宋体" w:hAnsi="宋体"/>
          <w:sz w:val="24"/>
          <w:u w:val="single"/>
        </w:rPr>
      </w:pPr>
    </w:p>
    <w:p w14:paraId="1D64A034">
      <w:pPr>
        <w:ind w:firstLine="4440"/>
        <w:rPr>
          <w:rFonts w:ascii="宋体" w:hAnsi="宋体"/>
          <w:sz w:val="24"/>
        </w:rPr>
      </w:pPr>
      <w:r>
        <w:rPr>
          <w:rFonts w:hint="eastAsia" w:ascii="宋体" w:hAnsi="宋体"/>
          <w:sz w:val="24"/>
        </w:rPr>
        <w:t>日期：</w:t>
      </w:r>
      <w:r>
        <w:rPr>
          <w:rFonts w:hint="eastAsia" w:ascii="宋体" w:hAnsi="宋体"/>
          <w:sz w:val="24"/>
          <w:u w:val="single"/>
        </w:rPr>
        <w:t xml:space="preserve">        </w:t>
      </w:r>
      <w:r>
        <w:rPr>
          <w:rFonts w:hint="eastAsia" w:ascii="宋体" w:hAnsi="宋体"/>
          <w:sz w:val="24"/>
        </w:rPr>
        <w:t>年</w:t>
      </w:r>
      <w:r>
        <w:rPr>
          <w:rFonts w:hint="eastAsia" w:ascii="宋体" w:hAnsi="宋体"/>
          <w:sz w:val="24"/>
          <w:u w:val="single"/>
        </w:rPr>
        <w:t xml:space="preserve">      </w:t>
      </w:r>
      <w:r>
        <w:rPr>
          <w:rFonts w:hint="eastAsia" w:ascii="宋体" w:hAnsi="宋体"/>
          <w:sz w:val="24"/>
        </w:rPr>
        <w:t>月</w:t>
      </w:r>
      <w:r>
        <w:rPr>
          <w:rFonts w:hint="eastAsia" w:ascii="宋体" w:hAnsi="宋体"/>
          <w:sz w:val="24"/>
          <w:u w:val="single"/>
        </w:rPr>
        <w:t xml:space="preserve">      </w:t>
      </w:r>
      <w:r>
        <w:rPr>
          <w:rFonts w:hint="eastAsia" w:ascii="宋体" w:hAnsi="宋体"/>
          <w:sz w:val="24"/>
        </w:rPr>
        <w:t>日</w:t>
      </w:r>
    </w:p>
    <w:p w14:paraId="7B687C78">
      <w:pPr>
        <w:pStyle w:val="13"/>
        <w:spacing w:beforeAutospacing="0" w:afterAutospacing="0" w:line="0" w:lineRule="atLeast"/>
        <w:jc w:val="both"/>
        <w:rPr>
          <w:rFonts w:hint="eastAsia" w:ascii="黑体" w:hAnsi="黑体" w:eastAsia="黑体" w:cs="黑体"/>
          <w:b/>
          <w:sz w:val="36"/>
          <w:szCs w:val="36"/>
          <w:lang w:val="en-US" w:eastAsia="zh-CN"/>
        </w:rPr>
        <w:sectPr>
          <w:pgSz w:w="11906" w:h="16838"/>
          <w:pgMar w:top="1440" w:right="1587" w:bottom="1440" w:left="1587" w:header="851" w:footer="907" w:gutter="0"/>
          <w:cols w:space="720" w:num="1"/>
          <w:docGrid w:linePitch="360" w:charSpace="0"/>
        </w:sectPr>
      </w:pPr>
    </w:p>
    <w:p w14:paraId="0D060505">
      <w:pPr>
        <w:pStyle w:val="13"/>
        <w:spacing w:beforeAutospacing="0" w:afterAutospacing="0" w:line="0" w:lineRule="atLeast"/>
        <w:ind w:firstLine="480"/>
        <w:jc w:val="center"/>
        <w:rPr>
          <w:rFonts w:hint="eastAsia" w:ascii="黑体" w:hAnsi="黑体" w:eastAsia="黑体" w:cs="黑体"/>
          <w:b/>
          <w:sz w:val="36"/>
          <w:szCs w:val="36"/>
          <w:lang w:eastAsia="zh-CN"/>
        </w:rPr>
        <w:sectPr>
          <w:pgSz w:w="11906" w:h="16838"/>
          <w:pgMar w:top="1440" w:right="1587" w:bottom="1440" w:left="1587" w:header="851" w:footer="907" w:gutter="0"/>
          <w:cols w:space="720" w:num="1"/>
          <w:docGrid w:linePitch="360" w:charSpace="0"/>
        </w:sectPr>
      </w:pPr>
      <w:r>
        <w:rPr>
          <w:rFonts w:hint="eastAsia" w:ascii="黑体" w:hAnsi="黑体" w:eastAsia="黑体" w:cs="黑体"/>
          <w:b/>
          <w:sz w:val="36"/>
          <w:szCs w:val="36"/>
          <w:lang w:val="en-US" w:eastAsia="zh-CN"/>
        </w:rPr>
        <w:t>（二）上一</w:t>
      </w:r>
      <w:r>
        <w:rPr>
          <w:rFonts w:hint="eastAsia" w:ascii="黑体" w:hAnsi="黑体" w:eastAsia="黑体" w:cs="黑体"/>
          <w:b/>
          <w:sz w:val="36"/>
          <w:szCs w:val="36"/>
        </w:rPr>
        <w:t>年度的财务</w:t>
      </w:r>
      <w:r>
        <w:rPr>
          <w:rFonts w:hint="eastAsia" w:ascii="黑体" w:hAnsi="黑体" w:eastAsia="黑体" w:cs="黑体"/>
          <w:b/>
          <w:sz w:val="36"/>
          <w:szCs w:val="36"/>
          <w:lang w:val="en-US" w:eastAsia="zh-CN"/>
        </w:rPr>
        <w:t>状况</w:t>
      </w:r>
      <w:r>
        <w:rPr>
          <w:rFonts w:hint="eastAsia" w:ascii="黑体" w:hAnsi="黑体" w:eastAsia="黑体" w:cs="黑体"/>
          <w:b/>
          <w:sz w:val="36"/>
          <w:szCs w:val="36"/>
        </w:rPr>
        <w:t>报表</w:t>
      </w:r>
      <w:r>
        <w:rPr>
          <w:rFonts w:hint="eastAsia" w:ascii="黑体" w:hAnsi="黑体" w:eastAsia="黑体" w:cs="黑体"/>
          <w:b/>
          <w:sz w:val="36"/>
          <w:szCs w:val="36"/>
          <w:lang w:eastAsia="zh-CN"/>
        </w:rPr>
        <w:t>（</w:t>
      </w:r>
      <w:r>
        <w:rPr>
          <w:rFonts w:hint="eastAsia" w:ascii="黑体" w:hAnsi="黑体" w:eastAsia="黑体" w:cs="黑体"/>
          <w:b/>
          <w:sz w:val="36"/>
          <w:szCs w:val="36"/>
        </w:rPr>
        <w:t>投标人成立不满一年不需提供</w:t>
      </w:r>
      <w:r>
        <w:rPr>
          <w:rFonts w:hint="eastAsia" w:ascii="黑体" w:hAnsi="黑体" w:eastAsia="黑体" w:cs="黑体"/>
          <w:b/>
          <w:sz w:val="36"/>
          <w:szCs w:val="36"/>
          <w:lang w:eastAsia="zh-CN"/>
        </w:rPr>
        <w:t>）</w:t>
      </w:r>
    </w:p>
    <w:p w14:paraId="550542BD">
      <w:pPr>
        <w:pStyle w:val="13"/>
        <w:spacing w:beforeAutospacing="0" w:afterAutospacing="0"/>
        <w:jc w:val="center"/>
        <w:rPr>
          <w:rFonts w:hint="eastAsia" w:ascii="黑体" w:hAnsi="黑体" w:eastAsia="黑体" w:cs="黑体"/>
          <w:b/>
          <w:sz w:val="36"/>
          <w:szCs w:val="36"/>
          <w:lang w:val="en-US" w:eastAsia="zh-CN" w:bidi="ar-SA"/>
        </w:rPr>
      </w:pPr>
      <w:r>
        <w:rPr>
          <w:rFonts w:hint="eastAsia" w:ascii="黑体" w:hAnsi="黑体" w:eastAsia="黑体" w:cs="黑体"/>
          <w:b/>
          <w:sz w:val="36"/>
          <w:szCs w:val="36"/>
        </w:rPr>
        <w:t>（</w:t>
      </w:r>
      <w:r>
        <w:rPr>
          <w:rFonts w:hint="eastAsia" w:ascii="黑体" w:hAnsi="黑体" w:eastAsia="黑体" w:cs="黑体"/>
          <w:b/>
          <w:sz w:val="36"/>
          <w:szCs w:val="36"/>
          <w:lang w:val="en-US" w:eastAsia="zh-CN"/>
        </w:rPr>
        <w:t>三</w:t>
      </w:r>
      <w:r>
        <w:rPr>
          <w:rFonts w:hint="eastAsia" w:ascii="黑体" w:hAnsi="黑体" w:eastAsia="黑体" w:cs="黑体"/>
          <w:b/>
          <w:sz w:val="36"/>
          <w:szCs w:val="36"/>
        </w:rPr>
        <w:t>）</w:t>
      </w:r>
      <w:r>
        <w:rPr>
          <w:rFonts w:hint="eastAsia" w:ascii="黑体" w:hAnsi="黑体" w:eastAsia="黑体" w:cs="黑体"/>
          <w:b/>
          <w:sz w:val="36"/>
          <w:szCs w:val="36"/>
          <w:lang w:val="en-US" w:eastAsia="zh-CN" w:bidi="ar-SA"/>
        </w:rPr>
        <w:t>依法缴纳税收和社会保障资金的相关材料</w:t>
      </w:r>
    </w:p>
    <w:p w14:paraId="6DB63AD0">
      <w:pPr>
        <w:pStyle w:val="13"/>
        <w:spacing w:beforeAutospacing="0" w:afterAutospacing="0"/>
        <w:jc w:val="both"/>
        <w:rPr>
          <w:rFonts w:hint="eastAsia" w:ascii="黑体" w:hAnsi="黑体" w:eastAsia="黑体" w:cs="黑体"/>
          <w:b w:val="0"/>
          <w:bCs/>
          <w:sz w:val="24"/>
          <w:szCs w:val="24"/>
          <w:lang w:val="en-US" w:eastAsia="zh-CN" w:bidi="ar-SA"/>
        </w:rPr>
      </w:pPr>
    </w:p>
    <w:p w14:paraId="3076E29D">
      <w:pPr>
        <w:pStyle w:val="9"/>
        <w:spacing w:before="120" w:after="120" w:line="440" w:lineRule="exact"/>
        <w:jc w:val="center"/>
        <w:rPr>
          <w:rFonts w:hint="eastAsia" w:ascii="黑体" w:hAnsi="黑体" w:eastAsia="黑体" w:cs="黑体"/>
          <w:b/>
          <w:sz w:val="36"/>
          <w:szCs w:val="36"/>
        </w:rPr>
        <w:sectPr>
          <w:pgSz w:w="11906" w:h="16838"/>
          <w:pgMar w:top="1440" w:right="1587" w:bottom="1440" w:left="1587" w:header="851" w:footer="907" w:gutter="0"/>
          <w:cols w:space="720" w:num="1"/>
          <w:docGrid w:linePitch="360" w:charSpace="0"/>
        </w:sectPr>
      </w:pPr>
    </w:p>
    <w:p w14:paraId="4E54DB0D">
      <w:pPr>
        <w:pStyle w:val="13"/>
        <w:spacing w:beforeAutospacing="0" w:afterAutospacing="0"/>
        <w:jc w:val="center"/>
        <w:rPr>
          <w:rFonts w:hint="eastAsia" w:ascii="黑体" w:hAnsi="黑体" w:eastAsia="黑体" w:cs="黑体"/>
          <w:b/>
          <w:sz w:val="36"/>
          <w:szCs w:val="36"/>
          <w:lang w:val="en-US" w:eastAsia="zh-CN" w:bidi="ar-SA"/>
        </w:rPr>
      </w:pPr>
      <w:r>
        <w:rPr>
          <w:rFonts w:hint="eastAsia" w:ascii="黑体" w:hAnsi="黑体" w:eastAsia="黑体" w:cs="黑体"/>
          <w:b/>
          <w:sz w:val="36"/>
          <w:szCs w:val="36"/>
          <w:lang w:val="en-US" w:eastAsia="zh-CN" w:bidi="ar-SA"/>
        </w:rPr>
        <w:t>（四）具备履行合同所必需的设备和专业技术能力的书面声明</w:t>
      </w:r>
    </w:p>
    <w:p w14:paraId="28D46EE4">
      <w:pPr>
        <w:pStyle w:val="9"/>
        <w:spacing w:before="120" w:after="120" w:line="440" w:lineRule="exact"/>
        <w:jc w:val="center"/>
        <w:rPr>
          <w:rFonts w:hint="eastAsia" w:ascii="黑体" w:hAnsi="黑体" w:eastAsia="黑体" w:cs="黑体"/>
          <w:b/>
          <w:sz w:val="36"/>
          <w:szCs w:val="36"/>
        </w:rPr>
      </w:pPr>
    </w:p>
    <w:p w14:paraId="20E2C2AA">
      <w:pPr>
        <w:pStyle w:val="13"/>
        <w:keepNext w:val="0"/>
        <w:keepLines w:val="0"/>
        <w:pageBreakBefore w:val="0"/>
        <w:spacing w:beforeAutospacing="0" w:afterAutospacing="0" w:line="500" w:lineRule="exact"/>
        <w:ind w:firstLine="492"/>
        <w:jc w:val="both"/>
      </w:pPr>
      <w:r>
        <w:rPr>
          <w:rFonts w:hint="eastAsia" w:ascii="宋体" w:hAnsi="宋体" w:eastAsia="宋体" w:cs="宋体"/>
          <w:color w:val="000000"/>
        </w:rPr>
        <w:t>我单位郑重声明：我单位具备履行本项采购合同所必需的设备和专业技术能力，为履行本项采购合同我公司具备如下主要设备和主要专业技术能力：</w:t>
      </w:r>
    </w:p>
    <w:p w14:paraId="35887351">
      <w:pPr>
        <w:pStyle w:val="13"/>
        <w:keepNext w:val="0"/>
        <w:keepLines w:val="0"/>
        <w:pageBreakBefore w:val="0"/>
        <w:spacing w:beforeAutospacing="0" w:afterAutospacing="0" w:line="500" w:lineRule="exact"/>
        <w:ind w:firstLine="492"/>
        <w:jc w:val="both"/>
        <w:rPr>
          <w:color w:val="auto"/>
          <w:highlight w:val="none"/>
        </w:rPr>
      </w:pPr>
      <w:r>
        <w:rPr>
          <w:rFonts w:hint="eastAsia" w:ascii="宋体" w:hAnsi="宋体" w:cs="宋体"/>
          <w:color w:val="000000"/>
          <w:lang w:val="en-US" w:eastAsia="zh-CN"/>
        </w:rPr>
        <w:t xml:space="preserve"> </w:t>
      </w:r>
      <w:r>
        <w:rPr>
          <w:rFonts w:hint="eastAsia" w:ascii="宋体" w:hAnsi="宋体" w:eastAsia="宋体" w:cs="宋体"/>
          <w:color w:val="000000"/>
          <w:lang w:val="en-US" w:eastAsia="zh-CN"/>
        </w:rPr>
        <w:t xml:space="preserve"> </w:t>
      </w:r>
      <w:r>
        <w:rPr>
          <w:rFonts w:hint="eastAsia" w:ascii="宋体" w:hAnsi="宋体" w:eastAsia="宋体" w:cs="宋体"/>
          <w:color w:val="auto"/>
          <w:highlight w:val="none"/>
        </w:rPr>
        <w:t>主要设备有：</w:t>
      </w:r>
      <w:r>
        <w:rPr>
          <w:rFonts w:hint="eastAsia" w:ascii="宋体" w:hAnsi="宋体" w:eastAsia="宋体" w:cs="宋体"/>
          <w:color w:val="auto"/>
          <w:highlight w:val="none"/>
          <w:u w:val="single"/>
        </w:rPr>
        <w:t> </w:t>
      </w:r>
      <w:r>
        <w:rPr>
          <w:rFonts w:hint="eastAsia"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49D7A8F6">
      <w:pPr>
        <w:pStyle w:val="13"/>
        <w:keepNext w:val="0"/>
        <w:keepLines w:val="0"/>
        <w:pageBreakBefore w:val="0"/>
        <w:spacing w:beforeAutospacing="0" w:afterAutospacing="0" w:line="50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主要专业技术能力有：</w:t>
      </w:r>
      <w:r>
        <w:rPr>
          <w:rFonts w:hint="eastAsia" w:ascii="宋体" w:hAnsi="宋体" w:eastAsia="宋体" w:cs="宋体"/>
          <w:color w:val="auto"/>
          <w:highlight w:val="none"/>
          <w:u w:val="single"/>
        </w:rPr>
        <w:t> </w:t>
      </w:r>
      <w:r>
        <w:rPr>
          <w:rFonts w:hint="eastAsia"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56D829C4">
      <w:pPr>
        <w:keepNext w:val="0"/>
        <w:keepLines w:val="0"/>
        <w:pageBreakBefore w:val="0"/>
        <w:spacing w:line="500" w:lineRule="exact"/>
        <w:jc w:val="right"/>
        <w:rPr>
          <w:rFonts w:ascii="宋体" w:hAnsi="宋体"/>
          <w:bCs/>
          <w:color w:val="auto"/>
          <w:sz w:val="24"/>
          <w:highlight w:val="none"/>
        </w:rPr>
      </w:pPr>
      <w:r>
        <w:rPr>
          <w:rFonts w:hint="eastAsia" w:ascii="宋体" w:hAnsi="宋体"/>
          <w:bCs/>
          <w:color w:val="auto"/>
          <w:sz w:val="24"/>
          <w:highlight w:val="none"/>
        </w:rPr>
        <w:t>投标人名称（公章）：</w:t>
      </w:r>
    </w:p>
    <w:p w14:paraId="4C7FFBDD">
      <w:pPr>
        <w:keepNext w:val="0"/>
        <w:keepLines w:val="0"/>
        <w:pageBreakBefore w:val="0"/>
        <w:spacing w:line="500" w:lineRule="exact"/>
        <w:jc w:val="right"/>
        <w:rPr>
          <w:rFonts w:ascii="宋体" w:hAnsi="宋体"/>
          <w:bCs/>
          <w:color w:val="auto"/>
          <w:sz w:val="24"/>
          <w:highlight w:val="none"/>
        </w:rPr>
      </w:pPr>
      <w:r>
        <w:rPr>
          <w:rFonts w:hint="eastAsia" w:ascii="宋体" w:hAnsi="宋体"/>
          <w:bCs/>
          <w:color w:val="auto"/>
          <w:sz w:val="24"/>
          <w:highlight w:val="none"/>
        </w:rPr>
        <w:t xml:space="preserve">                                      授权代表签字：</w:t>
      </w:r>
    </w:p>
    <w:p w14:paraId="5EA45EA8">
      <w:pPr>
        <w:keepNext w:val="0"/>
        <w:keepLines w:val="0"/>
        <w:pageBreakBefore w:val="0"/>
        <w:spacing w:line="500" w:lineRule="exact"/>
        <w:jc w:val="right"/>
        <w:rPr>
          <w:rFonts w:ascii="宋体" w:hAnsi="宋体"/>
          <w:bCs/>
          <w:color w:val="auto"/>
          <w:sz w:val="24"/>
          <w:highlight w:val="none"/>
        </w:rPr>
      </w:pPr>
      <w:r>
        <w:rPr>
          <w:rFonts w:hint="eastAsia" w:ascii="宋体" w:hAnsi="宋体"/>
          <w:bCs/>
          <w:color w:val="auto"/>
          <w:sz w:val="24"/>
          <w:highlight w:val="none"/>
        </w:rPr>
        <w:t xml:space="preserve">                                      日期：</w:t>
      </w:r>
      <w:r>
        <w:rPr>
          <w:rFonts w:hint="eastAsia" w:ascii="宋体" w:hAnsi="宋体"/>
          <w:bCs/>
          <w:color w:val="auto"/>
          <w:sz w:val="24"/>
          <w:highlight w:val="none"/>
          <w:u w:val="single"/>
        </w:rPr>
        <w:t xml:space="preserve">     </w:t>
      </w:r>
      <w:r>
        <w:rPr>
          <w:rFonts w:hint="eastAsia" w:ascii="宋体" w:hAnsi="宋体"/>
          <w:bCs/>
          <w:color w:val="auto"/>
          <w:sz w:val="24"/>
          <w:highlight w:val="none"/>
        </w:rPr>
        <w:t>年</w:t>
      </w:r>
      <w:r>
        <w:rPr>
          <w:rFonts w:hint="eastAsia" w:ascii="宋体" w:hAnsi="宋体"/>
          <w:bCs/>
          <w:color w:val="auto"/>
          <w:sz w:val="24"/>
          <w:highlight w:val="none"/>
          <w:u w:val="single"/>
        </w:rPr>
        <w:t xml:space="preserve">    </w:t>
      </w:r>
      <w:r>
        <w:rPr>
          <w:rFonts w:hint="eastAsia" w:ascii="宋体" w:hAnsi="宋体"/>
          <w:bCs/>
          <w:color w:val="auto"/>
          <w:sz w:val="24"/>
          <w:highlight w:val="none"/>
        </w:rPr>
        <w:t>月</w:t>
      </w:r>
      <w:r>
        <w:rPr>
          <w:rFonts w:hint="eastAsia" w:ascii="宋体" w:hAnsi="宋体"/>
          <w:bCs/>
          <w:color w:val="auto"/>
          <w:sz w:val="24"/>
          <w:highlight w:val="none"/>
          <w:u w:val="single"/>
        </w:rPr>
        <w:t xml:space="preserve">    </w:t>
      </w:r>
      <w:r>
        <w:rPr>
          <w:rFonts w:hint="eastAsia" w:ascii="宋体" w:hAnsi="宋体"/>
          <w:bCs/>
          <w:color w:val="auto"/>
          <w:sz w:val="24"/>
          <w:highlight w:val="none"/>
        </w:rPr>
        <w:t>日</w:t>
      </w:r>
    </w:p>
    <w:p w14:paraId="07F7F2FF">
      <w:pPr>
        <w:pStyle w:val="13"/>
        <w:keepNext w:val="0"/>
        <w:keepLines w:val="0"/>
        <w:pageBreakBefore w:val="0"/>
        <w:spacing w:beforeAutospacing="0" w:afterAutospacing="0" w:line="500" w:lineRule="exact"/>
        <w:ind w:firstLine="492"/>
        <w:jc w:val="both"/>
        <w:rPr>
          <w:rFonts w:hint="eastAsia" w:ascii="宋体" w:hAnsi="宋体" w:eastAsia="宋体" w:cs="宋体"/>
          <w:color w:val="000000"/>
        </w:rPr>
      </w:pPr>
    </w:p>
    <w:p w14:paraId="560AE3DB">
      <w:pPr>
        <w:keepNext w:val="0"/>
        <w:keepLines w:val="0"/>
        <w:pageBreakBefore w:val="0"/>
        <w:spacing w:line="500" w:lineRule="exact"/>
        <w:jc w:val="left"/>
        <w:rPr>
          <w:rFonts w:hint="eastAsia" w:ascii="宋体" w:hAnsi="宋体" w:eastAsia="宋体" w:cs="宋体"/>
          <w:color w:val="000000"/>
        </w:rPr>
      </w:pPr>
    </w:p>
    <w:p w14:paraId="6F577209">
      <w:pPr>
        <w:pStyle w:val="6"/>
        <w:rPr>
          <w:rFonts w:hint="eastAsia"/>
        </w:rPr>
      </w:pPr>
    </w:p>
    <w:p w14:paraId="6DB9707E">
      <w:pPr>
        <w:keepNext w:val="0"/>
        <w:keepLines w:val="0"/>
        <w:pageBreakBefore w:val="0"/>
        <w:spacing w:line="500" w:lineRule="exact"/>
        <w:jc w:val="right"/>
        <w:rPr>
          <w:rFonts w:ascii="宋体" w:hAnsi="宋体"/>
          <w:bCs/>
          <w:sz w:val="24"/>
        </w:rPr>
      </w:pPr>
      <w:r>
        <w:rPr>
          <w:rFonts w:hint="eastAsia" w:ascii="宋体" w:hAnsi="宋体"/>
          <w:bCs/>
          <w:sz w:val="24"/>
          <w:lang w:val="en-US" w:eastAsia="zh-CN"/>
        </w:rPr>
        <w:t xml:space="preserve">                                        </w:t>
      </w:r>
    </w:p>
    <w:p w14:paraId="59C7C62D">
      <w:pPr>
        <w:pStyle w:val="9"/>
        <w:spacing w:before="120" w:after="120" w:line="440" w:lineRule="exact"/>
        <w:jc w:val="center"/>
        <w:rPr>
          <w:rFonts w:hint="eastAsia" w:ascii="黑体" w:hAnsi="黑体" w:eastAsia="黑体" w:cs="黑体"/>
          <w:b/>
          <w:sz w:val="36"/>
          <w:szCs w:val="36"/>
        </w:rPr>
      </w:pPr>
    </w:p>
    <w:p w14:paraId="00D8A534">
      <w:pPr>
        <w:pStyle w:val="9"/>
        <w:spacing w:before="120" w:after="120" w:line="440" w:lineRule="exact"/>
        <w:jc w:val="both"/>
        <w:rPr>
          <w:rFonts w:hint="eastAsia" w:ascii="黑体" w:hAnsi="黑体" w:eastAsia="黑体" w:cs="黑体"/>
          <w:b/>
          <w:sz w:val="36"/>
          <w:szCs w:val="36"/>
        </w:rPr>
      </w:pPr>
    </w:p>
    <w:p w14:paraId="4692E767">
      <w:pPr>
        <w:pStyle w:val="9"/>
        <w:spacing w:before="120" w:after="120" w:line="440" w:lineRule="exact"/>
        <w:jc w:val="center"/>
        <w:rPr>
          <w:rFonts w:hint="eastAsia" w:ascii="黑体" w:hAnsi="黑体" w:eastAsia="黑体" w:cs="黑体"/>
          <w:b/>
          <w:sz w:val="36"/>
          <w:szCs w:val="36"/>
        </w:rPr>
      </w:pPr>
    </w:p>
    <w:p w14:paraId="42F799F0">
      <w:pPr>
        <w:pStyle w:val="9"/>
        <w:spacing w:before="120" w:after="120" w:line="440" w:lineRule="exact"/>
        <w:jc w:val="center"/>
        <w:rPr>
          <w:rFonts w:hint="eastAsia" w:ascii="黑体" w:hAnsi="黑体" w:eastAsia="黑体" w:cs="黑体"/>
          <w:b/>
          <w:sz w:val="36"/>
          <w:szCs w:val="36"/>
        </w:rPr>
      </w:pPr>
    </w:p>
    <w:p w14:paraId="0CEC1976">
      <w:pPr>
        <w:pStyle w:val="9"/>
        <w:spacing w:before="120" w:after="120" w:line="440" w:lineRule="exact"/>
        <w:jc w:val="center"/>
        <w:rPr>
          <w:rFonts w:hint="eastAsia" w:ascii="黑体" w:hAnsi="黑体" w:eastAsia="黑体" w:cs="黑体"/>
          <w:b/>
          <w:sz w:val="36"/>
          <w:szCs w:val="36"/>
        </w:rPr>
      </w:pPr>
    </w:p>
    <w:p w14:paraId="177C34C4">
      <w:pPr>
        <w:pStyle w:val="9"/>
        <w:spacing w:before="120" w:after="120" w:line="440" w:lineRule="exact"/>
        <w:jc w:val="center"/>
        <w:rPr>
          <w:rFonts w:hint="eastAsia" w:ascii="黑体" w:hAnsi="黑体" w:eastAsia="黑体" w:cs="黑体"/>
          <w:b/>
          <w:sz w:val="36"/>
          <w:szCs w:val="36"/>
        </w:rPr>
      </w:pPr>
    </w:p>
    <w:p w14:paraId="5CC80B98">
      <w:pPr>
        <w:pStyle w:val="9"/>
        <w:spacing w:before="120" w:after="120" w:line="440" w:lineRule="exact"/>
        <w:jc w:val="center"/>
        <w:rPr>
          <w:rFonts w:hint="eastAsia" w:ascii="黑体" w:hAnsi="黑体" w:eastAsia="黑体" w:cs="黑体"/>
          <w:b/>
          <w:sz w:val="36"/>
          <w:szCs w:val="36"/>
        </w:rPr>
      </w:pPr>
    </w:p>
    <w:p w14:paraId="395CC6C7">
      <w:pPr>
        <w:pStyle w:val="9"/>
        <w:spacing w:before="120" w:after="120" w:line="440" w:lineRule="exact"/>
        <w:jc w:val="center"/>
        <w:rPr>
          <w:rFonts w:hint="eastAsia" w:ascii="黑体" w:hAnsi="黑体" w:eastAsia="黑体" w:cs="黑体"/>
          <w:b/>
          <w:sz w:val="36"/>
          <w:szCs w:val="36"/>
        </w:rPr>
      </w:pPr>
    </w:p>
    <w:p w14:paraId="525C9150">
      <w:pPr>
        <w:pStyle w:val="9"/>
        <w:spacing w:before="120" w:after="120" w:line="440" w:lineRule="exact"/>
        <w:jc w:val="both"/>
        <w:rPr>
          <w:rFonts w:hint="eastAsia" w:ascii="黑体" w:hAnsi="黑体" w:eastAsia="黑体" w:cs="黑体"/>
          <w:b/>
          <w:sz w:val="36"/>
          <w:szCs w:val="36"/>
        </w:rPr>
      </w:pPr>
    </w:p>
    <w:p w14:paraId="4A5D6FE6">
      <w:pPr>
        <w:pStyle w:val="9"/>
        <w:spacing w:before="120" w:after="120" w:line="440" w:lineRule="exact"/>
        <w:jc w:val="center"/>
        <w:rPr>
          <w:rFonts w:hint="eastAsia" w:ascii="黑体" w:hAnsi="黑体" w:eastAsia="黑体" w:cs="黑体"/>
          <w:b/>
          <w:sz w:val="36"/>
          <w:szCs w:val="36"/>
        </w:rPr>
        <w:sectPr>
          <w:pgSz w:w="11906" w:h="16838"/>
          <w:pgMar w:top="1440" w:right="1587" w:bottom="1440" w:left="1587" w:header="851" w:footer="907" w:gutter="0"/>
          <w:cols w:space="720" w:num="1"/>
          <w:docGrid w:linePitch="360" w:charSpace="0"/>
        </w:sectPr>
      </w:pPr>
    </w:p>
    <w:p w14:paraId="2217A882">
      <w:pPr>
        <w:jc w:val="center"/>
        <w:rPr>
          <w:rFonts w:ascii="黑体" w:hAnsi="黑体" w:eastAsia="黑体" w:cs="黑体"/>
          <w:b/>
          <w:sz w:val="36"/>
          <w:szCs w:val="36"/>
        </w:rPr>
      </w:pPr>
      <w:r>
        <w:rPr>
          <w:rFonts w:hint="eastAsia" w:ascii="黑体" w:hAnsi="黑体" w:eastAsia="黑体" w:cs="黑体"/>
          <w:b/>
          <w:sz w:val="36"/>
          <w:szCs w:val="36"/>
        </w:rPr>
        <w:t>（</w:t>
      </w:r>
      <w:r>
        <w:rPr>
          <w:rFonts w:hint="eastAsia" w:ascii="黑体" w:hAnsi="黑体" w:eastAsia="黑体" w:cs="黑体"/>
          <w:b/>
          <w:sz w:val="36"/>
          <w:szCs w:val="36"/>
          <w:lang w:val="en-US" w:eastAsia="zh-CN"/>
        </w:rPr>
        <w:t>五</w:t>
      </w:r>
      <w:r>
        <w:rPr>
          <w:rFonts w:hint="eastAsia" w:ascii="黑体" w:hAnsi="黑体" w:eastAsia="黑体" w:cs="黑体"/>
          <w:b/>
          <w:sz w:val="36"/>
          <w:szCs w:val="36"/>
        </w:rPr>
        <w:t>）参加政府采购活动前 3 年内在经营活动中没有重大违法记录的书面声明</w:t>
      </w:r>
    </w:p>
    <w:p w14:paraId="4BE4AE9D">
      <w:pPr>
        <w:spacing w:line="460" w:lineRule="exact"/>
        <w:rPr>
          <w:rFonts w:ascii="宋体" w:hAnsi="宋体"/>
          <w:b/>
          <w:bCs/>
          <w:sz w:val="44"/>
          <w:szCs w:val="44"/>
        </w:rPr>
      </w:pPr>
      <w:r>
        <w:rPr>
          <w:rFonts w:hint="eastAsia" w:ascii="宋体" w:hAnsi="宋体"/>
          <w:b/>
          <w:bCs/>
          <w:sz w:val="24"/>
        </w:rPr>
        <w:t xml:space="preserve">                       </w:t>
      </w:r>
      <w:r>
        <w:rPr>
          <w:rFonts w:hint="eastAsia" w:ascii="宋体" w:hAnsi="宋体"/>
          <w:b/>
          <w:bCs/>
          <w:sz w:val="44"/>
          <w:szCs w:val="44"/>
        </w:rPr>
        <w:t xml:space="preserve">   </w:t>
      </w:r>
    </w:p>
    <w:p w14:paraId="176D06DC">
      <w:pPr>
        <w:spacing w:line="460" w:lineRule="exact"/>
        <w:rPr>
          <w:rFonts w:ascii="宋体" w:hAnsi="宋体"/>
          <w:b/>
          <w:bCs/>
          <w:sz w:val="44"/>
          <w:szCs w:val="44"/>
        </w:rPr>
      </w:pPr>
      <w:r>
        <w:rPr>
          <w:rFonts w:hint="eastAsia" w:ascii="宋体" w:hAnsi="宋体"/>
          <w:b/>
          <w:bCs/>
          <w:sz w:val="44"/>
          <w:szCs w:val="44"/>
        </w:rPr>
        <w:t xml:space="preserve">                   声  明</w:t>
      </w:r>
    </w:p>
    <w:p w14:paraId="204C5C59">
      <w:pPr>
        <w:spacing w:line="460" w:lineRule="exact"/>
        <w:ind w:firstLine="420"/>
        <w:rPr>
          <w:rFonts w:ascii="宋体" w:hAnsi="宋体"/>
          <w:bCs/>
          <w:sz w:val="24"/>
        </w:rPr>
      </w:pPr>
      <w:r>
        <w:rPr>
          <w:rFonts w:hint="eastAsia" w:ascii="宋体" w:hAnsi="宋体"/>
          <w:bCs/>
          <w:sz w:val="24"/>
        </w:rPr>
        <w:t>我公司郑重声明：参加本次政府采购活动前 3 年内，我公司在经营活动中没有因违法经营受到刑事处罚或者责令停产停业、吊销许可证或者执照、较大数额罚款等行政处罚。</w:t>
      </w:r>
    </w:p>
    <w:p w14:paraId="310ECD5E">
      <w:pPr>
        <w:spacing w:line="460" w:lineRule="exact"/>
        <w:rPr>
          <w:rFonts w:ascii="宋体" w:hAnsi="宋体"/>
          <w:bCs/>
          <w:sz w:val="24"/>
        </w:rPr>
      </w:pPr>
    </w:p>
    <w:p w14:paraId="742A072F">
      <w:pPr>
        <w:spacing w:line="460" w:lineRule="exact"/>
        <w:rPr>
          <w:rFonts w:ascii="宋体" w:hAnsi="宋体"/>
          <w:bCs/>
          <w:sz w:val="24"/>
        </w:rPr>
      </w:pPr>
      <w:r>
        <w:rPr>
          <w:rFonts w:hint="eastAsia" w:ascii="宋体" w:hAnsi="宋体"/>
          <w:bCs/>
          <w:sz w:val="24"/>
        </w:rPr>
        <w:t xml:space="preserve">                                      投标人名称（公章）：</w:t>
      </w:r>
    </w:p>
    <w:p w14:paraId="28CFC8A8">
      <w:pPr>
        <w:spacing w:line="460" w:lineRule="exact"/>
        <w:rPr>
          <w:rFonts w:ascii="宋体" w:hAnsi="宋体"/>
          <w:bCs/>
          <w:sz w:val="24"/>
        </w:rPr>
      </w:pPr>
      <w:r>
        <w:rPr>
          <w:rFonts w:hint="eastAsia" w:ascii="宋体" w:hAnsi="宋体"/>
          <w:bCs/>
          <w:sz w:val="24"/>
        </w:rPr>
        <w:t xml:space="preserve">                                      授权代表签字：</w:t>
      </w:r>
    </w:p>
    <w:p w14:paraId="081CE850">
      <w:pPr>
        <w:spacing w:line="460" w:lineRule="exact"/>
        <w:rPr>
          <w:rFonts w:ascii="宋体" w:hAnsi="宋体"/>
          <w:bCs/>
          <w:sz w:val="24"/>
        </w:rPr>
      </w:pPr>
      <w:r>
        <w:rPr>
          <w:rFonts w:hint="eastAsia" w:ascii="宋体" w:hAnsi="宋体"/>
          <w:bCs/>
          <w:sz w:val="24"/>
        </w:rPr>
        <w:t xml:space="preserve">                                      日期：</w:t>
      </w:r>
      <w:r>
        <w:rPr>
          <w:rFonts w:hint="eastAsia" w:ascii="宋体" w:hAnsi="宋体"/>
          <w:bCs/>
          <w:sz w:val="24"/>
          <w:u w:val="single"/>
        </w:rPr>
        <w:t xml:space="preserve">     </w:t>
      </w:r>
      <w:r>
        <w:rPr>
          <w:rFonts w:hint="eastAsia" w:ascii="宋体" w:hAnsi="宋体"/>
          <w:bCs/>
          <w:sz w:val="24"/>
        </w:rPr>
        <w:t>年</w:t>
      </w:r>
      <w:r>
        <w:rPr>
          <w:rFonts w:hint="eastAsia" w:ascii="宋体" w:hAnsi="宋体"/>
          <w:bCs/>
          <w:sz w:val="24"/>
          <w:u w:val="single"/>
        </w:rPr>
        <w:t xml:space="preserve">    </w:t>
      </w:r>
      <w:r>
        <w:rPr>
          <w:rFonts w:hint="eastAsia" w:ascii="宋体" w:hAnsi="宋体"/>
          <w:bCs/>
          <w:sz w:val="24"/>
        </w:rPr>
        <w:t>月</w:t>
      </w:r>
      <w:r>
        <w:rPr>
          <w:rFonts w:hint="eastAsia" w:ascii="宋体" w:hAnsi="宋体"/>
          <w:bCs/>
          <w:sz w:val="24"/>
          <w:u w:val="single"/>
        </w:rPr>
        <w:t xml:space="preserve">    </w:t>
      </w:r>
      <w:r>
        <w:rPr>
          <w:rFonts w:hint="eastAsia" w:ascii="宋体" w:hAnsi="宋体"/>
          <w:bCs/>
          <w:sz w:val="24"/>
        </w:rPr>
        <w:t>日</w:t>
      </w:r>
    </w:p>
    <w:p w14:paraId="3DF10B76">
      <w:pPr>
        <w:spacing w:line="360" w:lineRule="auto"/>
        <w:ind w:left="1446" w:hanging="1446"/>
        <w:jc w:val="center"/>
        <w:rPr>
          <w:rFonts w:ascii="宋体" w:hAnsi="宋体"/>
          <w:b/>
          <w:sz w:val="36"/>
          <w:szCs w:val="36"/>
        </w:rPr>
      </w:pPr>
    </w:p>
    <w:p w14:paraId="6592190F">
      <w:pPr>
        <w:spacing w:line="360" w:lineRule="auto"/>
        <w:ind w:left="1446" w:hanging="1446"/>
        <w:jc w:val="center"/>
        <w:rPr>
          <w:rFonts w:ascii="宋体" w:hAnsi="宋体"/>
          <w:b/>
          <w:sz w:val="36"/>
          <w:szCs w:val="36"/>
        </w:rPr>
      </w:pPr>
    </w:p>
    <w:p w14:paraId="51DF6F58">
      <w:pPr>
        <w:spacing w:line="360" w:lineRule="auto"/>
        <w:ind w:left="1446" w:hanging="1446"/>
        <w:jc w:val="center"/>
        <w:rPr>
          <w:rFonts w:ascii="宋体" w:hAnsi="宋体"/>
          <w:b/>
          <w:sz w:val="36"/>
          <w:szCs w:val="36"/>
        </w:rPr>
      </w:pPr>
    </w:p>
    <w:p w14:paraId="3E53EA64">
      <w:pPr>
        <w:pStyle w:val="14"/>
        <w:ind w:firstLine="361"/>
        <w:rPr>
          <w:rFonts w:ascii="宋体" w:hAnsi="宋体"/>
          <w:b/>
          <w:sz w:val="36"/>
          <w:szCs w:val="36"/>
        </w:rPr>
      </w:pPr>
    </w:p>
    <w:p w14:paraId="5FDCD35B">
      <w:pPr>
        <w:rPr>
          <w:rFonts w:ascii="宋体" w:hAnsi="宋体"/>
          <w:b/>
          <w:sz w:val="36"/>
          <w:szCs w:val="36"/>
        </w:rPr>
      </w:pPr>
    </w:p>
    <w:p w14:paraId="1B0A3BB4">
      <w:pPr>
        <w:rPr>
          <w:rFonts w:ascii="黑体" w:hAnsi="黑体" w:eastAsia="黑体" w:cs="黑体"/>
          <w:b/>
          <w:sz w:val="36"/>
          <w:szCs w:val="36"/>
        </w:rPr>
      </w:pPr>
    </w:p>
    <w:p w14:paraId="677F0BD6">
      <w:pPr>
        <w:pStyle w:val="10"/>
      </w:pPr>
    </w:p>
    <w:p w14:paraId="373D2B7D"/>
    <w:p w14:paraId="556B77CC">
      <w:pPr>
        <w:pStyle w:val="10"/>
      </w:pPr>
    </w:p>
    <w:p w14:paraId="338AFA07"/>
    <w:p w14:paraId="68E2ECFE">
      <w:pPr>
        <w:pStyle w:val="10"/>
      </w:pPr>
    </w:p>
    <w:p w14:paraId="3DE55CBB"/>
    <w:p w14:paraId="54979B6F">
      <w:pPr>
        <w:pStyle w:val="10"/>
      </w:pPr>
    </w:p>
    <w:p w14:paraId="72BBEDB0"/>
    <w:p w14:paraId="4E642C2C">
      <w:pPr>
        <w:pStyle w:val="10"/>
      </w:pPr>
    </w:p>
    <w:p w14:paraId="52A61CFC"/>
    <w:p w14:paraId="7F9476B5">
      <w:pPr>
        <w:pStyle w:val="10"/>
      </w:pPr>
    </w:p>
    <w:p w14:paraId="5236FDBB"/>
    <w:p w14:paraId="06A97F0C">
      <w:pPr>
        <w:pStyle w:val="10"/>
      </w:pPr>
    </w:p>
    <w:p w14:paraId="6F462722"/>
    <w:p w14:paraId="42E22713">
      <w:pPr>
        <w:pStyle w:val="10"/>
      </w:pPr>
    </w:p>
    <w:p w14:paraId="03E1922C"/>
    <w:p w14:paraId="26E027DB">
      <w:pPr>
        <w:pStyle w:val="10"/>
      </w:pPr>
    </w:p>
    <w:p w14:paraId="7095EC3E">
      <w:pPr>
        <w:jc w:val="center"/>
        <w:rPr>
          <w:rFonts w:hint="eastAsia" w:ascii="黑体" w:hAnsi="黑体" w:eastAsia="黑体" w:cs="黑体"/>
          <w:b/>
          <w:sz w:val="36"/>
          <w:szCs w:val="36"/>
          <w:lang w:val="en-US" w:eastAsia="zh-CN"/>
        </w:rPr>
        <w:sectPr>
          <w:pgSz w:w="11906" w:h="16838"/>
          <w:pgMar w:top="1440" w:right="1587" w:bottom="1440" w:left="1587" w:header="851" w:footer="907" w:gutter="0"/>
          <w:cols w:space="720" w:num="1"/>
          <w:docGrid w:linePitch="360" w:charSpace="0"/>
        </w:sectPr>
      </w:pPr>
    </w:p>
    <w:p w14:paraId="2FA7DA26">
      <w:pPr>
        <w:jc w:val="center"/>
        <w:rPr>
          <w:rFonts w:hint="eastAsia" w:ascii="黑体" w:hAnsi="黑体" w:eastAsia="黑体" w:cs="黑体"/>
          <w:b/>
          <w:sz w:val="36"/>
          <w:szCs w:val="36"/>
          <w:lang w:val="en-US" w:eastAsia="zh-CN"/>
        </w:rPr>
      </w:pPr>
      <w:r>
        <w:rPr>
          <w:rFonts w:hint="eastAsia" w:ascii="黑体" w:hAnsi="黑体" w:eastAsia="黑体" w:cs="黑体"/>
          <w:b/>
          <w:sz w:val="36"/>
          <w:szCs w:val="36"/>
          <w:lang w:val="en-US" w:eastAsia="zh-CN"/>
        </w:rPr>
        <w:t>（六）</w:t>
      </w:r>
      <w:r>
        <w:rPr>
          <w:rFonts w:hint="eastAsia" w:ascii="黑体" w:hAnsi="黑体" w:eastAsia="黑体" w:cs="黑体"/>
          <w:b/>
          <w:sz w:val="36"/>
          <w:szCs w:val="36"/>
        </w:rPr>
        <w:t>投标时，投标申请人须提供拟派的项目负责人、安全管理员从投标截止之日当月向前6个月内任意1个月的社保缴纳证明；安全管理员须提供相关安全管理证书</w:t>
      </w:r>
    </w:p>
    <w:p w14:paraId="7C391126">
      <w:pPr>
        <w:jc w:val="center"/>
        <w:rPr>
          <w:rFonts w:hint="eastAsia" w:ascii="黑体" w:hAnsi="黑体" w:eastAsia="黑体" w:cs="黑体"/>
          <w:b/>
          <w:sz w:val="36"/>
          <w:szCs w:val="36"/>
          <w:lang w:val="en-US" w:eastAsia="zh-CN"/>
        </w:rPr>
      </w:pPr>
    </w:p>
    <w:p w14:paraId="68FDA91C">
      <w:pPr>
        <w:jc w:val="center"/>
        <w:rPr>
          <w:rFonts w:hint="eastAsia" w:ascii="黑体" w:hAnsi="黑体" w:eastAsia="黑体" w:cs="黑体"/>
          <w:b/>
          <w:sz w:val="36"/>
          <w:szCs w:val="36"/>
          <w:lang w:val="en-US" w:eastAsia="zh-CN"/>
        </w:rPr>
      </w:pPr>
    </w:p>
    <w:p w14:paraId="4669B2CC">
      <w:pPr>
        <w:jc w:val="center"/>
        <w:rPr>
          <w:rFonts w:hint="eastAsia" w:ascii="黑体" w:hAnsi="黑体" w:eastAsia="黑体" w:cs="黑体"/>
          <w:b/>
          <w:sz w:val="36"/>
          <w:szCs w:val="36"/>
          <w:lang w:val="en-US" w:eastAsia="zh-CN"/>
        </w:rPr>
      </w:pPr>
    </w:p>
    <w:p w14:paraId="49D4D520">
      <w:pPr>
        <w:jc w:val="center"/>
        <w:rPr>
          <w:rFonts w:hint="eastAsia" w:ascii="黑体" w:hAnsi="黑体" w:eastAsia="黑体" w:cs="黑体"/>
          <w:b/>
          <w:sz w:val="36"/>
          <w:szCs w:val="36"/>
          <w:lang w:val="en-US" w:eastAsia="zh-CN"/>
        </w:rPr>
      </w:pPr>
    </w:p>
    <w:p w14:paraId="7380CAC0">
      <w:pPr>
        <w:jc w:val="center"/>
        <w:rPr>
          <w:rFonts w:hint="eastAsia" w:ascii="黑体" w:hAnsi="黑体" w:eastAsia="黑体" w:cs="黑体"/>
          <w:b/>
          <w:sz w:val="36"/>
          <w:szCs w:val="36"/>
          <w:lang w:val="en-US" w:eastAsia="zh-CN"/>
        </w:rPr>
      </w:pPr>
    </w:p>
    <w:p w14:paraId="348446BC">
      <w:pPr>
        <w:jc w:val="center"/>
        <w:rPr>
          <w:rFonts w:hint="eastAsia" w:ascii="黑体" w:hAnsi="黑体" w:eastAsia="黑体" w:cs="黑体"/>
          <w:b/>
          <w:sz w:val="36"/>
          <w:szCs w:val="36"/>
          <w:lang w:val="en-US" w:eastAsia="zh-CN"/>
        </w:rPr>
      </w:pPr>
    </w:p>
    <w:p w14:paraId="573BE472">
      <w:pPr>
        <w:jc w:val="center"/>
        <w:rPr>
          <w:rFonts w:hint="eastAsia" w:ascii="黑体" w:hAnsi="黑体" w:eastAsia="黑体" w:cs="黑体"/>
          <w:b/>
          <w:sz w:val="36"/>
          <w:szCs w:val="36"/>
          <w:lang w:val="en-US" w:eastAsia="zh-CN"/>
        </w:rPr>
      </w:pPr>
    </w:p>
    <w:p w14:paraId="720726E5">
      <w:pPr>
        <w:jc w:val="center"/>
        <w:rPr>
          <w:rFonts w:hint="eastAsia" w:ascii="黑体" w:hAnsi="黑体" w:eastAsia="黑体" w:cs="黑体"/>
          <w:b/>
          <w:sz w:val="36"/>
          <w:szCs w:val="36"/>
          <w:lang w:val="en-US" w:eastAsia="zh-CN"/>
        </w:rPr>
      </w:pPr>
    </w:p>
    <w:p w14:paraId="6D83DB92">
      <w:pPr>
        <w:jc w:val="center"/>
        <w:rPr>
          <w:rFonts w:hint="eastAsia" w:ascii="黑体" w:hAnsi="黑体" w:eastAsia="黑体" w:cs="黑体"/>
          <w:b/>
          <w:sz w:val="36"/>
          <w:szCs w:val="36"/>
          <w:lang w:val="en-US" w:eastAsia="zh-CN"/>
        </w:rPr>
      </w:pPr>
    </w:p>
    <w:p w14:paraId="10B055CA">
      <w:pPr>
        <w:jc w:val="center"/>
        <w:rPr>
          <w:rFonts w:hint="eastAsia" w:ascii="黑体" w:hAnsi="黑体" w:eastAsia="黑体" w:cs="黑体"/>
          <w:b/>
          <w:sz w:val="36"/>
          <w:szCs w:val="36"/>
          <w:lang w:val="en-US" w:eastAsia="zh-CN"/>
        </w:rPr>
      </w:pPr>
    </w:p>
    <w:p w14:paraId="5124FA00">
      <w:pPr>
        <w:jc w:val="center"/>
        <w:rPr>
          <w:rFonts w:hint="eastAsia" w:ascii="黑体" w:hAnsi="黑体" w:eastAsia="黑体" w:cs="黑体"/>
          <w:b/>
          <w:sz w:val="36"/>
          <w:szCs w:val="36"/>
          <w:lang w:val="en-US" w:eastAsia="zh-CN"/>
        </w:rPr>
      </w:pPr>
    </w:p>
    <w:p w14:paraId="2897AFBB">
      <w:pPr>
        <w:jc w:val="center"/>
        <w:rPr>
          <w:rFonts w:hint="eastAsia" w:ascii="黑体" w:hAnsi="黑体" w:eastAsia="黑体" w:cs="黑体"/>
          <w:b/>
          <w:sz w:val="36"/>
          <w:szCs w:val="36"/>
          <w:lang w:val="en-US" w:eastAsia="zh-CN"/>
        </w:rPr>
      </w:pPr>
    </w:p>
    <w:p w14:paraId="010DC378">
      <w:pPr>
        <w:jc w:val="center"/>
        <w:rPr>
          <w:rFonts w:hint="eastAsia" w:ascii="黑体" w:hAnsi="黑体" w:eastAsia="黑体" w:cs="黑体"/>
          <w:b/>
          <w:sz w:val="36"/>
          <w:szCs w:val="36"/>
          <w:lang w:val="en-US" w:eastAsia="zh-CN"/>
        </w:rPr>
      </w:pPr>
    </w:p>
    <w:p w14:paraId="34C933E7">
      <w:pPr>
        <w:jc w:val="center"/>
        <w:rPr>
          <w:rFonts w:hint="eastAsia" w:ascii="黑体" w:hAnsi="黑体" w:eastAsia="黑体" w:cs="黑体"/>
          <w:b/>
          <w:sz w:val="36"/>
          <w:szCs w:val="36"/>
          <w:lang w:val="en-US" w:eastAsia="zh-CN"/>
        </w:rPr>
      </w:pPr>
    </w:p>
    <w:p w14:paraId="396CD2F8">
      <w:pPr>
        <w:jc w:val="center"/>
        <w:rPr>
          <w:rFonts w:hint="eastAsia" w:ascii="黑体" w:hAnsi="黑体" w:eastAsia="黑体" w:cs="黑体"/>
          <w:b/>
          <w:sz w:val="36"/>
          <w:szCs w:val="36"/>
          <w:lang w:val="en-US" w:eastAsia="zh-CN"/>
        </w:rPr>
      </w:pPr>
    </w:p>
    <w:p w14:paraId="0A14F988">
      <w:pPr>
        <w:jc w:val="center"/>
        <w:rPr>
          <w:rFonts w:hint="eastAsia" w:ascii="黑体" w:hAnsi="黑体" w:eastAsia="黑体" w:cs="黑体"/>
          <w:b/>
          <w:sz w:val="36"/>
          <w:szCs w:val="36"/>
          <w:lang w:val="en-US" w:eastAsia="zh-CN"/>
        </w:rPr>
      </w:pPr>
    </w:p>
    <w:p w14:paraId="175AA1A2">
      <w:pPr>
        <w:jc w:val="center"/>
        <w:rPr>
          <w:rFonts w:hint="eastAsia" w:ascii="黑体" w:hAnsi="黑体" w:eastAsia="黑体" w:cs="黑体"/>
          <w:b/>
          <w:sz w:val="36"/>
          <w:szCs w:val="36"/>
          <w:lang w:val="en-US" w:eastAsia="zh-CN"/>
        </w:rPr>
      </w:pPr>
    </w:p>
    <w:p w14:paraId="4F577A17">
      <w:pPr>
        <w:jc w:val="center"/>
        <w:rPr>
          <w:rFonts w:hint="eastAsia" w:ascii="黑体" w:hAnsi="黑体" w:eastAsia="黑体" w:cs="黑体"/>
          <w:b/>
          <w:sz w:val="36"/>
          <w:szCs w:val="36"/>
          <w:lang w:val="en-US" w:eastAsia="zh-CN"/>
        </w:rPr>
      </w:pPr>
    </w:p>
    <w:p w14:paraId="420CD750">
      <w:pPr>
        <w:jc w:val="center"/>
        <w:rPr>
          <w:rFonts w:hint="eastAsia" w:ascii="黑体" w:hAnsi="黑体" w:eastAsia="黑体" w:cs="黑体"/>
          <w:b/>
          <w:sz w:val="36"/>
          <w:szCs w:val="36"/>
          <w:lang w:val="en-US" w:eastAsia="zh-CN"/>
        </w:rPr>
      </w:pPr>
    </w:p>
    <w:p w14:paraId="1C396657">
      <w:pPr>
        <w:jc w:val="center"/>
        <w:rPr>
          <w:rFonts w:hint="eastAsia" w:ascii="黑体" w:hAnsi="黑体" w:eastAsia="黑体" w:cs="黑体"/>
          <w:b/>
          <w:sz w:val="36"/>
          <w:szCs w:val="36"/>
          <w:lang w:val="en-US" w:eastAsia="zh-CN"/>
        </w:rPr>
      </w:pPr>
    </w:p>
    <w:p w14:paraId="5AAE881C">
      <w:pPr>
        <w:jc w:val="center"/>
        <w:rPr>
          <w:rFonts w:hint="eastAsia" w:ascii="黑体" w:hAnsi="黑体" w:eastAsia="黑体" w:cs="黑体"/>
          <w:b/>
          <w:sz w:val="36"/>
          <w:szCs w:val="36"/>
          <w:lang w:val="en-US" w:eastAsia="zh-CN"/>
        </w:rPr>
      </w:pPr>
    </w:p>
    <w:p w14:paraId="61527DD4">
      <w:pPr>
        <w:jc w:val="center"/>
        <w:rPr>
          <w:rFonts w:hint="eastAsia" w:ascii="黑体" w:hAnsi="黑体" w:eastAsia="黑体" w:cs="黑体"/>
          <w:b/>
          <w:sz w:val="36"/>
          <w:szCs w:val="36"/>
          <w:lang w:val="en-US" w:eastAsia="zh-CN"/>
        </w:rPr>
      </w:pPr>
    </w:p>
    <w:p w14:paraId="4108E94B">
      <w:pPr>
        <w:jc w:val="center"/>
        <w:rPr>
          <w:rFonts w:hint="eastAsia" w:ascii="黑体" w:hAnsi="黑体" w:eastAsia="黑体" w:cs="黑体"/>
          <w:b/>
          <w:sz w:val="36"/>
          <w:szCs w:val="36"/>
          <w:lang w:val="en-US" w:eastAsia="zh-CN"/>
        </w:rPr>
      </w:pPr>
    </w:p>
    <w:p w14:paraId="0B422D9E">
      <w:pPr>
        <w:jc w:val="center"/>
        <w:rPr>
          <w:rFonts w:hint="eastAsia" w:ascii="黑体" w:hAnsi="黑体" w:eastAsia="黑体" w:cs="黑体"/>
          <w:b/>
          <w:sz w:val="36"/>
          <w:szCs w:val="36"/>
          <w:lang w:val="en-US" w:eastAsia="zh-CN"/>
        </w:rPr>
      </w:pPr>
    </w:p>
    <w:p w14:paraId="5768BB00">
      <w:pPr>
        <w:jc w:val="center"/>
        <w:rPr>
          <w:rFonts w:hint="eastAsia" w:ascii="黑体" w:hAnsi="黑体" w:eastAsia="黑体" w:cs="黑体"/>
          <w:b/>
          <w:sz w:val="36"/>
          <w:szCs w:val="36"/>
          <w:lang w:val="en-US" w:eastAsia="zh-CN"/>
        </w:rPr>
      </w:pPr>
    </w:p>
    <w:p w14:paraId="140D2D24">
      <w:pPr>
        <w:jc w:val="center"/>
        <w:rPr>
          <w:rFonts w:hint="eastAsia" w:ascii="黑体" w:hAnsi="黑体" w:eastAsia="黑体" w:cs="黑体"/>
          <w:b/>
          <w:sz w:val="36"/>
          <w:szCs w:val="36"/>
          <w:lang w:val="en-US" w:eastAsia="zh-CN"/>
        </w:rPr>
      </w:pPr>
    </w:p>
    <w:p w14:paraId="34183AD7">
      <w:pPr>
        <w:jc w:val="center"/>
        <w:rPr>
          <w:rFonts w:hint="eastAsia" w:ascii="黑体" w:hAnsi="黑体" w:eastAsia="黑体" w:cs="黑体"/>
          <w:b/>
          <w:sz w:val="36"/>
          <w:szCs w:val="36"/>
          <w:lang w:val="en-US" w:eastAsia="zh-CN"/>
        </w:rPr>
      </w:pPr>
      <w:r>
        <w:rPr>
          <w:rFonts w:hint="eastAsia" w:ascii="黑体" w:hAnsi="黑体" w:eastAsia="黑体" w:cs="黑体"/>
          <w:b/>
          <w:sz w:val="36"/>
          <w:szCs w:val="36"/>
          <w:lang w:val="en-US" w:eastAsia="zh-CN"/>
        </w:rPr>
        <w:t>（七）</w:t>
      </w:r>
      <w:r>
        <w:rPr>
          <w:rFonts w:hint="eastAsia" w:ascii="黑体" w:hAnsi="黑体" w:eastAsia="黑体" w:cs="黑体"/>
          <w:b/>
          <w:sz w:val="36"/>
          <w:szCs w:val="36"/>
        </w:rPr>
        <w:t>招标文件中规定要求提供的证明材料和投标人认为需要提供的其他材料</w:t>
      </w:r>
    </w:p>
    <w:p w14:paraId="258F8D9D">
      <w:pPr>
        <w:jc w:val="center"/>
        <w:rPr>
          <w:rFonts w:hint="eastAsia" w:ascii="黑体" w:hAnsi="黑体" w:eastAsia="黑体" w:cs="黑体"/>
          <w:b/>
          <w:sz w:val="36"/>
          <w:szCs w:val="36"/>
          <w:lang w:val="en-US" w:eastAsia="zh-CN"/>
        </w:rPr>
      </w:pPr>
    </w:p>
    <w:p w14:paraId="4CEC46C2">
      <w:pPr>
        <w:jc w:val="center"/>
        <w:rPr>
          <w:rFonts w:hint="eastAsia" w:ascii="黑体" w:hAnsi="黑体" w:eastAsia="黑体" w:cs="黑体"/>
          <w:b/>
          <w:sz w:val="36"/>
          <w:szCs w:val="36"/>
          <w:lang w:val="en-US" w:eastAsia="zh-CN"/>
        </w:rPr>
      </w:pPr>
    </w:p>
    <w:p w14:paraId="761D5CF6">
      <w:pPr>
        <w:jc w:val="center"/>
        <w:rPr>
          <w:rFonts w:hint="eastAsia" w:ascii="黑体" w:hAnsi="黑体" w:eastAsia="黑体" w:cs="黑体"/>
          <w:b/>
          <w:sz w:val="36"/>
          <w:szCs w:val="36"/>
          <w:lang w:val="en-US" w:eastAsia="zh-CN"/>
        </w:rPr>
      </w:pPr>
    </w:p>
    <w:p w14:paraId="1F9FB937">
      <w:pPr>
        <w:jc w:val="center"/>
        <w:rPr>
          <w:rFonts w:hint="eastAsia" w:ascii="黑体" w:hAnsi="黑体" w:eastAsia="黑体" w:cs="黑体"/>
          <w:b/>
          <w:sz w:val="36"/>
          <w:szCs w:val="36"/>
          <w:lang w:val="en-US" w:eastAsia="zh-CN"/>
        </w:rPr>
      </w:pPr>
    </w:p>
    <w:p w14:paraId="7EB3F913">
      <w:pPr>
        <w:jc w:val="center"/>
        <w:rPr>
          <w:rFonts w:hint="eastAsia" w:ascii="黑体" w:hAnsi="黑体" w:eastAsia="黑体" w:cs="黑体"/>
          <w:b/>
          <w:sz w:val="36"/>
          <w:szCs w:val="36"/>
          <w:lang w:val="en-US" w:eastAsia="zh-CN"/>
        </w:rPr>
      </w:pPr>
    </w:p>
    <w:p w14:paraId="5FBFF02B">
      <w:pPr>
        <w:jc w:val="center"/>
        <w:rPr>
          <w:rFonts w:hint="eastAsia" w:ascii="黑体" w:hAnsi="黑体" w:eastAsia="黑体" w:cs="黑体"/>
          <w:b/>
          <w:sz w:val="36"/>
          <w:szCs w:val="36"/>
          <w:lang w:val="en-US" w:eastAsia="zh-CN"/>
        </w:rPr>
      </w:pPr>
    </w:p>
    <w:p w14:paraId="10828339">
      <w:pPr>
        <w:jc w:val="center"/>
        <w:rPr>
          <w:rFonts w:hint="eastAsia" w:ascii="黑体" w:hAnsi="黑体" w:eastAsia="黑体" w:cs="黑体"/>
          <w:b/>
          <w:sz w:val="36"/>
          <w:szCs w:val="36"/>
          <w:lang w:val="en-US" w:eastAsia="zh-CN"/>
        </w:rPr>
      </w:pPr>
    </w:p>
    <w:p w14:paraId="5CF94925">
      <w:pPr>
        <w:jc w:val="center"/>
        <w:rPr>
          <w:rFonts w:hint="eastAsia" w:ascii="黑体" w:hAnsi="黑体" w:eastAsia="黑体" w:cs="黑体"/>
          <w:b/>
          <w:sz w:val="36"/>
          <w:szCs w:val="36"/>
          <w:lang w:val="en-US" w:eastAsia="zh-CN"/>
        </w:rPr>
      </w:pPr>
    </w:p>
    <w:p w14:paraId="56AE4E75">
      <w:pPr>
        <w:jc w:val="center"/>
        <w:rPr>
          <w:rFonts w:hint="eastAsia" w:ascii="黑体" w:hAnsi="黑体" w:eastAsia="黑体" w:cs="黑体"/>
          <w:b/>
          <w:sz w:val="36"/>
          <w:szCs w:val="36"/>
          <w:lang w:val="en-US" w:eastAsia="zh-CN"/>
        </w:rPr>
      </w:pPr>
    </w:p>
    <w:p w14:paraId="59C2BFC1">
      <w:pPr>
        <w:jc w:val="center"/>
        <w:rPr>
          <w:rFonts w:hint="eastAsia" w:ascii="黑体" w:hAnsi="黑体" w:eastAsia="黑体" w:cs="黑体"/>
          <w:b/>
          <w:sz w:val="36"/>
          <w:szCs w:val="36"/>
          <w:lang w:val="en-US" w:eastAsia="zh-CN"/>
        </w:rPr>
      </w:pPr>
    </w:p>
    <w:p w14:paraId="31B6737E">
      <w:pPr>
        <w:jc w:val="center"/>
        <w:rPr>
          <w:rFonts w:hint="eastAsia" w:ascii="黑体" w:hAnsi="黑体" w:eastAsia="黑体" w:cs="黑体"/>
          <w:b/>
          <w:sz w:val="36"/>
          <w:szCs w:val="36"/>
          <w:lang w:val="en-US" w:eastAsia="zh-CN"/>
        </w:rPr>
      </w:pPr>
    </w:p>
    <w:p w14:paraId="38B44EA5">
      <w:pPr>
        <w:jc w:val="center"/>
        <w:rPr>
          <w:rFonts w:hint="eastAsia" w:ascii="黑体" w:hAnsi="黑体" w:eastAsia="黑体" w:cs="黑体"/>
          <w:b/>
          <w:sz w:val="36"/>
          <w:szCs w:val="36"/>
          <w:lang w:val="en-US" w:eastAsia="zh-CN"/>
        </w:rPr>
      </w:pPr>
    </w:p>
    <w:p w14:paraId="3A63DC19">
      <w:pPr>
        <w:jc w:val="center"/>
        <w:rPr>
          <w:rFonts w:hint="eastAsia" w:ascii="黑体" w:hAnsi="黑体" w:eastAsia="黑体" w:cs="黑体"/>
          <w:b/>
          <w:sz w:val="36"/>
          <w:szCs w:val="36"/>
          <w:lang w:val="en-US" w:eastAsia="zh-CN"/>
        </w:rPr>
      </w:pPr>
    </w:p>
    <w:p w14:paraId="0275BDE1">
      <w:pPr>
        <w:jc w:val="center"/>
        <w:rPr>
          <w:rFonts w:hint="eastAsia" w:ascii="黑体" w:hAnsi="黑体" w:eastAsia="黑体" w:cs="黑体"/>
          <w:b/>
          <w:sz w:val="36"/>
          <w:szCs w:val="36"/>
          <w:lang w:val="en-US" w:eastAsia="zh-CN"/>
        </w:rPr>
      </w:pPr>
    </w:p>
    <w:p w14:paraId="0524DB72">
      <w:pPr>
        <w:jc w:val="center"/>
        <w:rPr>
          <w:rFonts w:hint="eastAsia" w:ascii="黑体" w:hAnsi="黑体" w:eastAsia="黑体" w:cs="黑体"/>
          <w:b/>
          <w:sz w:val="36"/>
          <w:szCs w:val="36"/>
          <w:lang w:val="en-US" w:eastAsia="zh-CN"/>
        </w:rPr>
      </w:pPr>
    </w:p>
    <w:p w14:paraId="6857B631">
      <w:pPr>
        <w:jc w:val="center"/>
        <w:rPr>
          <w:rFonts w:hint="eastAsia" w:ascii="黑体" w:hAnsi="黑体" w:eastAsia="黑体" w:cs="黑体"/>
          <w:b/>
          <w:sz w:val="36"/>
          <w:szCs w:val="36"/>
          <w:lang w:val="en-US" w:eastAsia="zh-CN"/>
        </w:rPr>
      </w:pPr>
    </w:p>
    <w:p w14:paraId="40F7590F">
      <w:pPr>
        <w:jc w:val="center"/>
        <w:rPr>
          <w:rFonts w:hint="eastAsia" w:ascii="黑体" w:hAnsi="黑体" w:eastAsia="黑体" w:cs="黑体"/>
          <w:b/>
          <w:sz w:val="36"/>
          <w:szCs w:val="36"/>
          <w:lang w:val="en-US" w:eastAsia="zh-CN"/>
        </w:rPr>
      </w:pPr>
    </w:p>
    <w:p w14:paraId="1EF3C096">
      <w:pPr>
        <w:jc w:val="center"/>
        <w:rPr>
          <w:rFonts w:hint="eastAsia" w:ascii="黑体" w:hAnsi="黑体" w:eastAsia="黑体" w:cs="黑体"/>
          <w:b/>
          <w:sz w:val="36"/>
          <w:szCs w:val="36"/>
          <w:lang w:val="en-US" w:eastAsia="zh-CN"/>
        </w:rPr>
      </w:pPr>
    </w:p>
    <w:p w14:paraId="774D6769">
      <w:pPr>
        <w:jc w:val="center"/>
        <w:rPr>
          <w:rFonts w:hint="eastAsia" w:ascii="黑体" w:hAnsi="黑体" w:eastAsia="黑体" w:cs="黑体"/>
          <w:b/>
          <w:sz w:val="36"/>
          <w:szCs w:val="36"/>
          <w:lang w:val="en-US" w:eastAsia="zh-CN"/>
        </w:rPr>
      </w:pPr>
    </w:p>
    <w:p w14:paraId="141975ED">
      <w:pPr>
        <w:jc w:val="center"/>
        <w:rPr>
          <w:rFonts w:hint="eastAsia" w:ascii="黑体" w:hAnsi="黑体" w:eastAsia="黑体" w:cs="黑体"/>
          <w:b/>
          <w:sz w:val="36"/>
          <w:szCs w:val="36"/>
          <w:lang w:val="en-US" w:eastAsia="zh-CN"/>
        </w:rPr>
      </w:pPr>
    </w:p>
    <w:p w14:paraId="09C53722">
      <w:pPr>
        <w:jc w:val="center"/>
        <w:rPr>
          <w:rFonts w:hint="eastAsia" w:ascii="黑体" w:hAnsi="黑体" w:eastAsia="黑体" w:cs="黑体"/>
          <w:b/>
          <w:sz w:val="36"/>
          <w:szCs w:val="36"/>
          <w:lang w:val="en-US" w:eastAsia="zh-CN"/>
        </w:rPr>
      </w:pPr>
    </w:p>
    <w:p w14:paraId="2BA67C32">
      <w:pPr>
        <w:jc w:val="center"/>
        <w:rPr>
          <w:rFonts w:hint="eastAsia" w:ascii="黑体" w:hAnsi="黑体" w:eastAsia="黑体" w:cs="黑体"/>
          <w:b/>
          <w:sz w:val="36"/>
          <w:szCs w:val="36"/>
          <w:lang w:val="en-US" w:eastAsia="zh-CN"/>
        </w:rPr>
      </w:pPr>
    </w:p>
    <w:p w14:paraId="6E267BE2">
      <w:pPr>
        <w:jc w:val="center"/>
        <w:rPr>
          <w:rFonts w:hint="eastAsia" w:ascii="黑体" w:hAnsi="黑体" w:eastAsia="黑体" w:cs="黑体"/>
          <w:b/>
          <w:sz w:val="36"/>
          <w:szCs w:val="36"/>
          <w:lang w:val="en-US" w:eastAsia="zh-CN"/>
        </w:rPr>
      </w:pPr>
    </w:p>
    <w:p w14:paraId="2D1FCA38">
      <w:pPr>
        <w:jc w:val="center"/>
        <w:rPr>
          <w:rFonts w:hint="eastAsia" w:ascii="黑体" w:hAnsi="黑体" w:eastAsia="黑体" w:cs="黑体"/>
          <w:b/>
          <w:sz w:val="36"/>
          <w:szCs w:val="36"/>
          <w:lang w:val="en-US" w:eastAsia="zh-CN"/>
        </w:rPr>
      </w:pPr>
    </w:p>
    <w:p w14:paraId="449CD8A1">
      <w:pPr>
        <w:jc w:val="center"/>
        <w:rPr>
          <w:rFonts w:hint="eastAsia" w:ascii="黑体" w:hAnsi="黑体" w:eastAsia="黑体" w:cs="黑体"/>
          <w:b/>
          <w:sz w:val="36"/>
          <w:szCs w:val="36"/>
          <w:lang w:val="en-US" w:eastAsia="zh-CN"/>
        </w:rPr>
      </w:pPr>
    </w:p>
    <w:p w14:paraId="1439C900">
      <w:pPr>
        <w:jc w:val="both"/>
        <w:rPr>
          <w:rFonts w:hint="eastAsia" w:ascii="黑体" w:hAnsi="黑体" w:eastAsia="黑体" w:cs="黑体"/>
          <w:b/>
          <w:sz w:val="36"/>
          <w:szCs w:val="36"/>
          <w:lang w:val="en-US" w:eastAsia="zh-CN"/>
        </w:rPr>
      </w:pPr>
    </w:p>
    <w:p w14:paraId="7C5D1159">
      <w:pPr>
        <w:pStyle w:val="9"/>
        <w:spacing w:before="120" w:after="120" w:line="440" w:lineRule="exact"/>
        <w:ind w:firstLine="2530"/>
        <w:rPr>
          <w:rFonts w:hAnsi="宋体" w:cs="宋体"/>
          <w:b/>
          <w:sz w:val="36"/>
          <w:szCs w:val="36"/>
        </w:rPr>
      </w:pPr>
      <w:r>
        <w:rPr>
          <w:rFonts w:hint="eastAsia" w:hAnsi="宋体" w:cs="宋体"/>
          <w:b/>
          <w:sz w:val="36"/>
          <w:szCs w:val="36"/>
          <w:lang w:eastAsia="zh-CN"/>
        </w:rPr>
        <w:t>（</w:t>
      </w:r>
      <w:r>
        <w:rPr>
          <w:rFonts w:hint="eastAsia" w:hAnsi="宋体" w:cs="宋体"/>
          <w:b/>
          <w:sz w:val="36"/>
          <w:szCs w:val="36"/>
          <w:lang w:val="en-US" w:eastAsia="zh-CN"/>
        </w:rPr>
        <w:t>八</w:t>
      </w:r>
      <w:r>
        <w:rPr>
          <w:rFonts w:hint="eastAsia" w:hAnsi="宋体" w:cs="宋体"/>
          <w:b/>
          <w:sz w:val="36"/>
          <w:szCs w:val="36"/>
          <w:lang w:eastAsia="zh-CN"/>
        </w:rPr>
        <w:t>）</w:t>
      </w:r>
      <w:r>
        <w:rPr>
          <w:rFonts w:hint="eastAsia" w:hAnsi="宋体" w:cs="宋体"/>
          <w:b/>
          <w:sz w:val="36"/>
          <w:szCs w:val="36"/>
        </w:rPr>
        <w:t>法</w:t>
      </w:r>
      <w:r>
        <w:rPr>
          <w:rFonts w:hint="eastAsia" w:hAnsi="宋体" w:cs="宋体"/>
          <w:b/>
          <w:sz w:val="36"/>
          <w:szCs w:val="36"/>
          <w:lang w:val="en-US" w:eastAsia="zh-CN"/>
        </w:rPr>
        <w:t>人</w:t>
      </w:r>
      <w:r>
        <w:rPr>
          <w:rFonts w:hint="eastAsia" w:hAnsi="宋体" w:cs="宋体"/>
          <w:b/>
          <w:sz w:val="36"/>
          <w:szCs w:val="36"/>
        </w:rPr>
        <w:t>授权书</w:t>
      </w:r>
    </w:p>
    <w:p w14:paraId="45A800FD"/>
    <w:p w14:paraId="420BD1EB"/>
    <w:p w14:paraId="71424A4D">
      <w:pPr>
        <w:spacing w:line="500" w:lineRule="exact"/>
        <w:ind w:firstLine="480"/>
        <w:rPr>
          <w:rFonts w:ascii="宋体" w:hAnsi="宋体"/>
          <w:sz w:val="24"/>
        </w:rPr>
      </w:pPr>
      <w:r>
        <w:rPr>
          <w:rFonts w:hint="eastAsia" w:ascii="宋体" w:hAnsi="宋体"/>
          <w:sz w:val="24"/>
        </w:rPr>
        <w:t>本授权委托书声明：我</w:t>
      </w:r>
      <w:r>
        <w:rPr>
          <w:rFonts w:hint="eastAsia" w:ascii="宋体" w:hAnsi="宋体"/>
          <w:sz w:val="24"/>
          <w:u w:val="single"/>
        </w:rPr>
        <w:t>　　　　　</w:t>
      </w:r>
      <w:r>
        <w:rPr>
          <w:rFonts w:hint="eastAsia" w:ascii="宋体" w:hAnsi="宋体"/>
          <w:sz w:val="24"/>
        </w:rPr>
        <w:t>（姓名）系</w:t>
      </w:r>
      <w:r>
        <w:rPr>
          <w:rFonts w:hint="eastAsia" w:ascii="宋体" w:hAnsi="宋体"/>
          <w:sz w:val="24"/>
          <w:u w:val="single"/>
        </w:rPr>
        <w:t>　　　　　　</w:t>
      </w:r>
      <w:r>
        <w:rPr>
          <w:rFonts w:hint="eastAsia" w:ascii="宋体" w:hAnsi="宋体"/>
          <w:sz w:val="24"/>
        </w:rPr>
        <w:t>（投标人名称）的法定代表人或单位负责人，现授权委托</w:t>
      </w:r>
      <w:r>
        <w:rPr>
          <w:rFonts w:hint="eastAsia" w:ascii="宋体" w:hAnsi="宋体"/>
          <w:sz w:val="24"/>
          <w:u w:val="single"/>
        </w:rPr>
        <w:t>　　　　　　　　　</w:t>
      </w:r>
      <w:r>
        <w:rPr>
          <w:rFonts w:hint="eastAsia" w:ascii="宋体" w:hAnsi="宋体"/>
          <w:sz w:val="24"/>
        </w:rPr>
        <w:t>（单位名称）</w:t>
      </w:r>
      <w:r>
        <w:rPr>
          <w:rFonts w:hint="eastAsia" w:ascii="宋体" w:hAnsi="宋体"/>
          <w:sz w:val="24"/>
          <w:u w:val="single"/>
        </w:rPr>
        <w:t>　　　　</w:t>
      </w:r>
      <w:r>
        <w:rPr>
          <w:rFonts w:hint="eastAsia" w:ascii="宋体" w:hAnsi="宋体"/>
          <w:sz w:val="24"/>
        </w:rPr>
        <w:t>（姓名）为我的代理人，以本公司的名义参加</w:t>
      </w:r>
      <w:r>
        <w:rPr>
          <w:rFonts w:hint="eastAsia" w:ascii="宋体" w:hAnsi="宋体"/>
          <w:sz w:val="24"/>
          <w:u w:val="single"/>
        </w:rPr>
        <w:t>　　　　　　　　　　　　　　　　　</w:t>
      </w:r>
      <w:r>
        <w:rPr>
          <w:rFonts w:hint="eastAsia" w:ascii="宋体" w:hAnsi="宋体"/>
          <w:sz w:val="24"/>
        </w:rPr>
        <w:t>的投标活动。代理人在开标、</w:t>
      </w:r>
      <w:r>
        <w:rPr>
          <w:rFonts w:hint="eastAsia" w:ascii="宋体" w:hAnsi="宋体"/>
          <w:sz w:val="24"/>
          <w:lang w:val="en-US" w:eastAsia="zh-CN"/>
        </w:rPr>
        <w:t>评</w:t>
      </w:r>
      <w:r>
        <w:rPr>
          <w:rFonts w:hint="eastAsia" w:ascii="宋体" w:hAnsi="宋体"/>
          <w:sz w:val="24"/>
        </w:rPr>
        <w:t>标、合同谈判等过程中所签署的一切文件和处理与之有关的一切事务，我均予以承认。</w:t>
      </w:r>
    </w:p>
    <w:p w14:paraId="62DA14C0">
      <w:pPr>
        <w:spacing w:line="500" w:lineRule="exact"/>
        <w:rPr>
          <w:rFonts w:ascii="宋体" w:hAnsi="宋体"/>
          <w:sz w:val="24"/>
        </w:rPr>
      </w:pPr>
    </w:p>
    <w:p w14:paraId="7C1FE8F0">
      <w:pPr>
        <w:spacing w:line="500" w:lineRule="exact"/>
        <w:ind w:firstLine="480"/>
        <w:rPr>
          <w:rFonts w:ascii="宋体" w:hAnsi="宋体"/>
          <w:sz w:val="24"/>
        </w:rPr>
      </w:pPr>
      <w:r>
        <w:rPr>
          <w:rFonts w:hint="eastAsia" w:ascii="宋体" w:hAnsi="宋体"/>
          <w:sz w:val="24"/>
        </w:rPr>
        <w:t>代理人无转委权，特此委托。</w:t>
      </w:r>
    </w:p>
    <w:p w14:paraId="53571769">
      <w:pPr>
        <w:spacing w:line="500" w:lineRule="exact"/>
        <w:rPr>
          <w:rFonts w:ascii="宋体" w:hAnsi="宋体"/>
          <w:sz w:val="24"/>
        </w:rPr>
      </w:pPr>
    </w:p>
    <w:p w14:paraId="3C95A928">
      <w:pPr>
        <w:spacing w:line="500" w:lineRule="exact"/>
        <w:ind w:firstLine="480"/>
        <w:jc w:val="left"/>
        <w:rPr>
          <w:rFonts w:ascii="宋体" w:hAnsi="宋体"/>
          <w:sz w:val="24"/>
        </w:rPr>
      </w:pPr>
      <w:r>
        <w:rPr>
          <w:rFonts w:hint="eastAsia" w:ascii="宋体" w:hAnsi="宋体"/>
          <w:sz w:val="24"/>
        </w:rPr>
        <w:t>代理人：　　　　      代理人联系电话（手机号）：　　     　　</w:t>
      </w:r>
    </w:p>
    <w:p w14:paraId="45624888">
      <w:pPr>
        <w:spacing w:line="500" w:lineRule="exact"/>
        <w:ind w:firstLine="480"/>
        <w:jc w:val="left"/>
        <w:rPr>
          <w:rFonts w:ascii="宋体" w:hAnsi="宋体"/>
          <w:sz w:val="24"/>
        </w:rPr>
      </w:pPr>
    </w:p>
    <w:p w14:paraId="1B9423B3">
      <w:pPr>
        <w:spacing w:line="500" w:lineRule="exact"/>
        <w:ind w:firstLine="480"/>
        <w:jc w:val="left"/>
        <w:rPr>
          <w:rFonts w:ascii="宋体" w:hAnsi="宋体"/>
          <w:sz w:val="24"/>
        </w:rPr>
      </w:pPr>
      <w:r>
        <w:rPr>
          <w:rFonts w:hint="eastAsia" w:ascii="宋体" w:hAnsi="宋体"/>
          <w:sz w:val="24"/>
        </w:rPr>
        <w:t>投标人(法人印章)：</w:t>
      </w:r>
    </w:p>
    <w:p w14:paraId="6977A64D">
      <w:pPr>
        <w:spacing w:line="500" w:lineRule="exact"/>
        <w:ind w:firstLine="480"/>
        <w:jc w:val="left"/>
        <w:rPr>
          <w:rFonts w:ascii="宋体" w:hAnsi="宋体"/>
          <w:sz w:val="24"/>
        </w:rPr>
      </w:pPr>
    </w:p>
    <w:p w14:paraId="66ACB683">
      <w:pPr>
        <w:spacing w:line="500" w:lineRule="exact"/>
        <w:ind w:firstLine="480"/>
        <w:jc w:val="left"/>
        <w:rPr>
          <w:rFonts w:ascii="宋体" w:hAnsi="宋体"/>
          <w:sz w:val="24"/>
        </w:rPr>
      </w:pPr>
      <w:r>
        <w:rPr>
          <w:rFonts w:hint="eastAsia" w:ascii="宋体" w:hAnsi="宋体"/>
          <w:sz w:val="24"/>
        </w:rPr>
        <w:t>法定代表人(印章或签字)：</w:t>
      </w:r>
    </w:p>
    <w:p w14:paraId="21FED3D9">
      <w:pPr>
        <w:rPr>
          <w:rFonts w:ascii="宋体" w:hAnsi="宋体"/>
          <w:sz w:val="24"/>
        </w:rPr>
      </w:pPr>
    </w:p>
    <w:p w14:paraId="36687094">
      <w:pPr>
        <w:spacing w:after="161" w:line="480" w:lineRule="exact"/>
        <w:jc w:val="right"/>
        <w:rPr>
          <w:rFonts w:ascii="宋体" w:hAnsi="宋体"/>
          <w:sz w:val="24"/>
        </w:rPr>
      </w:pPr>
      <w:r>
        <w:rPr>
          <w:rFonts w:hint="eastAsia" w:ascii="宋体" w:hAnsi="宋体"/>
          <w:sz w:val="24"/>
        </w:rPr>
        <w:t>日期：</w:t>
      </w:r>
      <w:r>
        <w:rPr>
          <w:rFonts w:hint="eastAsia" w:ascii="宋体" w:hAnsi="宋体"/>
          <w:bCs/>
          <w:sz w:val="24"/>
        </w:rPr>
        <w:t xml:space="preserve">年  </w:t>
      </w:r>
      <w:r>
        <w:rPr>
          <w:rFonts w:ascii="宋体" w:hAnsi="宋体"/>
          <w:bCs/>
          <w:sz w:val="24"/>
        </w:rPr>
        <w:t xml:space="preserve">  </w:t>
      </w:r>
      <w:r>
        <w:rPr>
          <w:rFonts w:hint="eastAsia" w:ascii="宋体" w:hAnsi="宋体"/>
          <w:bCs/>
          <w:sz w:val="24"/>
        </w:rPr>
        <w:t>月   日</w:t>
      </w:r>
    </w:p>
    <w:p w14:paraId="7023F61F">
      <w:pPr>
        <w:rPr>
          <w:rFonts w:ascii="宋体" w:hAnsi="宋体"/>
          <w:sz w:val="24"/>
        </w:rPr>
      </w:pPr>
      <w:r>
        <w:rPr>
          <w:rFonts w:hint="eastAsia" w:ascii="宋体" w:hAnsi="宋体"/>
          <w:sz w:val="24"/>
        </w:rPr>
        <w:t>附：</w:t>
      </w:r>
    </w:p>
    <w:tbl>
      <w:tblPr>
        <w:tblStyle w:val="16"/>
        <w:tblW w:w="0" w:type="auto"/>
        <w:tblInd w:w="9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93"/>
      </w:tblGrid>
      <w:tr w14:paraId="610C05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30" w:hRule="atLeast"/>
        </w:trPr>
        <w:tc>
          <w:tcPr>
            <w:tcW w:w="7893" w:type="dxa"/>
            <w:noWrap w:val="0"/>
            <w:vAlign w:val="center"/>
          </w:tcPr>
          <w:p w14:paraId="718B8E8D">
            <w:pPr>
              <w:rPr>
                <w:rFonts w:ascii="宋体" w:hAnsi="宋体"/>
                <w:sz w:val="24"/>
              </w:rPr>
            </w:pPr>
            <w:r>
              <w:rPr>
                <w:rFonts w:hint="eastAsia" w:ascii="宋体" w:hAnsi="宋体"/>
                <w:sz w:val="24"/>
              </w:rPr>
              <w:t>（代理人身份证</w:t>
            </w:r>
            <w:r>
              <w:rPr>
                <w:rFonts w:hint="eastAsia" w:ascii="宋体" w:hAnsi="宋体"/>
                <w:sz w:val="24"/>
                <w:lang w:val="en-US" w:eastAsia="zh-CN"/>
              </w:rPr>
              <w:t>扫描件</w:t>
            </w:r>
            <w:r>
              <w:rPr>
                <w:rFonts w:hint="eastAsia" w:ascii="宋体" w:hAnsi="宋体"/>
                <w:sz w:val="24"/>
              </w:rPr>
              <w:t>粘贴处）</w:t>
            </w:r>
          </w:p>
        </w:tc>
      </w:tr>
    </w:tbl>
    <w:p w14:paraId="352DC322">
      <w:pPr>
        <w:spacing w:before="50" w:after="50"/>
        <w:jc w:val="center"/>
        <w:rPr>
          <w:rFonts w:hint="eastAsia" w:ascii="黑体" w:hAnsi="黑体" w:eastAsia="黑体" w:cs="黑体"/>
          <w:b/>
          <w:sz w:val="36"/>
          <w:szCs w:val="36"/>
        </w:rPr>
        <w:sectPr>
          <w:pgSz w:w="11906" w:h="16838"/>
          <w:pgMar w:top="1440" w:right="1587" w:bottom="1440" w:left="1587" w:header="851" w:footer="907" w:gutter="0"/>
          <w:cols w:space="720" w:num="1"/>
          <w:docGrid w:linePitch="360" w:charSpace="0"/>
        </w:sectPr>
      </w:pPr>
      <w:r>
        <w:rPr>
          <w:rFonts w:hint="eastAsia" w:ascii="黑体" w:hAnsi="黑体" w:eastAsia="黑体" w:cs="黑体"/>
          <w:b/>
          <w:sz w:val="36"/>
          <w:szCs w:val="36"/>
        </w:rPr>
        <w:br w:type="page" w:clear="all"/>
      </w:r>
    </w:p>
    <w:p w14:paraId="467E6E35">
      <w:pPr>
        <w:jc w:val="center"/>
        <w:rPr>
          <w:rFonts w:hint="eastAsia" w:ascii="黑体" w:hAnsi="黑体" w:eastAsia="黑体" w:cs="黑体"/>
          <w:b/>
          <w:sz w:val="36"/>
          <w:szCs w:val="36"/>
        </w:rPr>
      </w:pPr>
      <w:r>
        <w:rPr>
          <w:rFonts w:hint="eastAsia" w:ascii="黑体" w:hAnsi="黑体" w:eastAsia="黑体" w:cs="黑体"/>
          <w:b/>
          <w:sz w:val="36"/>
          <w:szCs w:val="36"/>
          <w:lang w:val="en-US" w:eastAsia="zh-CN"/>
        </w:rPr>
        <w:t>（九）</w:t>
      </w:r>
      <w:r>
        <w:rPr>
          <w:rFonts w:hint="eastAsia" w:ascii="黑体" w:hAnsi="黑体" w:eastAsia="黑体" w:cs="黑体"/>
          <w:b/>
          <w:sz w:val="36"/>
          <w:szCs w:val="36"/>
        </w:rPr>
        <w:t>投标函</w:t>
      </w:r>
    </w:p>
    <w:p w14:paraId="6E9547AD">
      <w:pPr>
        <w:pStyle w:val="9"/>
        <w:spacing w:before="120" w:after="120" w:line="440" w:lineRule="exact"/>
        <w:rPr>
          <w:rFonts w:hAnsi="宋体"/>
          <w:sz w:val="24"/>
          <w:u w:val="single"/>
        </w:rPr>
      </w:pPr>
      <w:r>
        <w:rPr>
          <w:rFonts w:hint="eastAsia" w:hAnsi="宋体"/>
          <w:sz w:val="24"/>
        </w:rPr>
        <w:t>采购人：</w:t>
      </w:r>
      <w:r>
        <w:rPr>
          <w:rFonts w:hint="eastAsia" w:hAnsi="宋体"/>
          <w:b/>
          <w:bCs/>
          <w:sz w:val="24"/>
          <w:u w:val="single"/>
        </w:rPr>
        <w:t xml:space="preserve"> </w:t>
      </w:r>
      <w:r>
        <w:rPr>
          <w:rFonts w:hAnsi="宋体"/>
          <w:b/>
          <w:bCs/>
          <w:sz w:val="24"/>
          <w:u w:val="single"/>
        </w:rPr>
        <w:t xml:space="preserve">                      </w:t>
      </w:r>
    </w:p>
    <w:p w14:paraId="366B6A5E">
      <w:pPr>
        <w:pStyle w:val="20"/>
        <w:spacing w:before="0" w:after="0" w:line="420" w:lineRule="exact"/>
        <w:rPr>
          <w:rFonts w:ascii="宋体" w:hAnsi="宋体"/>
          <w:szCs w:val="21"/>
        </w:rPr>
      </w:pPr>
      <w:r>
        <w:rPr>
          <w:rFonts w:hint="eastAsia" w:ascii="宋体" w:hAnsi="宋体"/>
          <w:szCs w:val="21"/>
        </w:rPr>
        <w:t>根据贵方的</w:t>
      </w:r>
      <w:r>
        <w:rPr>
          <w:rFonts w:hint="eastAsia" w:ascii="宋体" w:hAnsi="宋体"/>
          <w:b/>
          <w:sz w:val="36"/>
          <w:u w:val="single"/>
        </w:rPr>
        <w:t xml:space="preserve"> </w:t>
      </w:r>
      <w:r>
        <w:rPr>
          <w:rFonts w:hint="eastAsia" w:ascii="宋体" w:hAnsi="宋体"/>
          <w:szCs w:val="21"/>
          <w:u w:val="single"/>
          <w:lang w:eastAsia="zh-CN"/>
        </w:rPr>
        <w:t>（</w:t>
      </w:r>
      <w:r>
        <w:rPr>
          <w:rFonts w:hint="eastAsia" w:ascii="宋体" w:hAnsi="宋体"/>
          <w:szCs w:val="21"/>
          <w:u w:val="single"/>
          <w:lang w:val="en-US" w:eastAsia="zh-CN"/>
        </w:rPr>
        <w:t>项目名称</w:t>
      </w:r>
      <w:r>
        <w:rPr>
          <w:rFonts w:hint="eastAsia" w:ascii="宋体" w:hAnsi="宋体"/>
          <w:szCs w:val="21"/>
          <w:u w:val="single"/>
          <w:lang w:eastAsia="zh-CN"/>
        </w:rPr>
        <w:t>）</w:t>
      </w:r>
      <w:r>
        <w:rPr>
          <w:rFonts w:hint="eastAsia" w:ascii="宋体" w:hAnsi="宋体"/>
          <w:b/>
          <w:sz w:val="36"/>
          <w:u w:val="single"/>
        </w:rPr>
        <w:t xml:space="preserve"> </w:t>
      </w:r>
      <w:r>
        <w:rPr>
          <w:rFonts w:hint="eastAsia" w:ascii="宋体" w:hAnsi="宋体"/>
          <w:szCs w:val="21"/>
        </w:rPr>
        <w:t>招标文件，正式授权下述签字人</w:t>
      </w:r>
      <w:r>
        <w:rPr>
          <w:rFonts w:hint="eastAsia" w:ascii="宋体" w:hAnsi="宋体"/>
          <w:szCs w:val="21"/>
          <w:u w:val="single"/>
          <w:lang w:val="en-US" w:eastAsia="zh-CN"/>
        </w:rPr>
        <w:t xml:space="preserve">  </w:t>
      </w:r>
      <w:r>
        <w:rPr>
          <w:rFonts w:hint="eastAsia" w:ascii="宋体" w:hAnsi="宋体"/>
          <w:szCs w:val="21"/>
          <w:u w:val="single"/>
        </w:rPr>
        <w:t>(姓名)</w:t>
      </w:r>
      <w:r>
        <w:rPr>
          <w:rFonts w:hint="eastAsia" w:ascii="宋体" w:hAnsi="宋体"/>
          <w:szCs w:val="21"/>
          <w:u w:val="single"/>
          <w:lang w:val="en-US" w:eastAsia="zh-CN"/>
        </w:rPr>
        <w:t xml:space="preserve">  </w:t>
      </w:r>
      <w:r>
        <w:rPr>
          <w:rFonts w:hint="eastAsia" w:ascii="宋体" w:hAnsi="宋体"/>
          <w:szCs w:val="21"/>
        </w:rPr>
        <w:t>代表我方</w:t>
      </w:r>
      <w:r>
        <w:rPr>
          <w:rFonts w:hint="eastAsia" w:ascii="宋体" w:hAnsi="宋体"/>
          <w:szCs w:val="21"/>
          <w:u w:val="single"/>
          <w:lang w:val="en-US" w:eastAsia="zh-CN"/>
        </w:rPr>
        <w:t xml:space="preserve">  </w:t>
      </w:r>
      <w:r>
        <w:rPr>
          <w:rFonts w:hint="eastAsia" w:ascii="宋体" w:hAnsi="宋体"/>
          <w:szCs w:val="21"/>
          <w:u w:val="single"/>
        </w:rPr>
        <w:t>（投标人的名称）</w:t>
      </w:r>
      <w:r>
        <w:rPr>
          <w:rFonts w:hint="eastAsia" w:ascii="宋体" w:hAnsi="宋体"/>
          <w:szCs w:val="21"/>
          <w:u w:val="single"/>
          <w:lang w:val="en-US" w:eastAsia="zh-CN"/>
        </w:rPr>
        <w:t xml:space="preserve">  </w:t>
      </w:r>
      <w:r>
        <w:rPr>
          <w:rFonts w:hint="eastAsia" w:ascii="宋体" w:hAnsi="宋体"/>
          <w:szCs w:val="21"/>
        </w:rPr>
        <w:t>，全权处理本次项目投标的有关事宜。</w:t>
      </w:r>
    </w:p>
    <w:p w14:paraId="754C9105">
      <w:pPr>
        <w:pStyle w:val="20"/>
        <w:spacing w:before="0" w:after="0" w:line="420" w:lineRule="exact"/>
        <w:rPr>
          <w:rFonts w:ascii="宋体" w:hAnsi="宋体"/>
          <w:szCs w:val="21"/>
        </w:rPr>
      </w:pPr>
      <w:r>
        <w:rPr>
          <w:rFonts w:hint="eastAsia" w:ascii="宋体" w:hAnsi="宋体"/>
          <w:szCs w:val="21"/>
        </w:rPr>
        <w:t>据此函，</w:t>
      </w:r>
      <w:r>
        <w:rPr>
          <w:rFonts w:hint="eastAsia" w:ascii="宋体" w:hAnsi="宋体"/>
          <w:szCs w:val="21"/>
          <w:u w:val="single"/>
          <w:lang w:val="en-US" w:eastAsia="zh-CN"/>
        </w:rPr>
        <w:t xml:space="preserve">  </w:t>
      </w:r>
      <w:r>
        <w:rPr>
          <w:rFonts w:hint="eastAsia" w:ascii="宋体" w:hAnsi="宋体"/>
          <w:szCs w:val="21"/>
          <w:u w:val="single"/>
        </w:rPr>
        <w:t>(姓名)</w:t>
      </w:r>
      <w:r>
        <w:rPr>
          <w:rFonts w:hint="eastAsia" w:ascii="宋体" w:hAnsi="宋体"/>
          <w:szCs w:val="21"/>
          <w:u w:val="single"/>
          <w:lang w:val="en-US" w:eastAsia="zh-CN"/>
        </w:rPr>
        <w:t xml:space="preserve">  </w:t>
      </w:r>
      <w:r>
        <w:rPr>
          <w:rFonts w:hint="eastAsia" w:ascii="宋体" w:hAnsi="宋体"/>
          <w:szCs w:val="21"/>
        </w:rPr>
        <w:t>签字人兹宣布同意如下：</w:t>
      </w:r>
    </w:p>
    <w:p w14:paraId="7D4BD4C5">
      <w:pPr>
        <w:pStyle w:val="20"/>
        <w:spacing w:before="0" w:after="0" w:line="420" w:lineRule="exact"/>
        <w:rPr>
          <w:rFonts w:ascii="宋体" w:hAnsi="宋体"/>
          <w:szCs w:val="21"/>
        </w:rPr>
      </w:pPr>
      <w:r>
        <w:rPr>
          <w:rFonts w:hint="eastAsia" w:ascii="宋体" w:hAnsi="宋体"/>
          <w:szCs w:val="21"/>
        </w:rPr>
        <w:t>1.按招标文件规定的各项要求，向买方提供所需货物与服务。</w:t>
      </w:r>
    </w:p>
    <w:p w14:paraId="74CA2BF6">
      <w:pPr>
        <w:pStyle w:val="20"/>
        <w:spacing w:before="0" w:after="0" w:line="420" w:lineRule="exact"/>
        <w:rPr>
          <w:rFonts w:ascii="宋体" w:hAnsi="宋体"/>
          <w:szCs w:val="21"/>
        </w:rPr>
      </w:pPr>
      <w:r>
        <w:rPr>
          <w:rFonts w:hint="eastAsia" w:ascii="宋体" w:hAnsi="宋体"/>
          <w:szCs w:val="21"/>
        </w:rPr>
        <w:t>2.我们完全理解贵方不一定将合同授予最低报价的投标人。</w:t>
      </w:r>
    </w:p>
    <w:p w14:paraId="56096347">
      <w:pPr>
        <w:pStyle w:val="20"/>
        <w:spacing w:before="0" w:after="0" w:line="420" w:lineRule="exact"/>
        <w:rPr>
          <w:rFonts w:ascii="宋体" w:hAnsi="宋体"/>
          <w:szCs w:val="21"/>
        </w:rPr>
      </w:pPr>
      <w:r>
        <w:rPr>
          <w:rFonts w:hint="eastAsia" w:ascii="宋体" w:hAnsi="宋体"/>
          <w:szCs w:val="21"/>
        </w:rPr>
        <w:t>3.我们已详细审核全部招标文件及其有效补充文件，我们知道必须放弃提出含糊不清或误解问题的权利。</w:t>
      </w:r>
    </w:p>
    <w:p w14:paraId="67D81A2C">
      <w:pPr>
        <w:pStyle w:val="20"/>
        <w:spacing w:before="0" w:after="0" w:line="420" w:lineRule="exact"/>
        <w:rPr>
          <w:rFonts w:ascii="宋体" w:hAnsi="宋体"/>
          <w:szCs w:val="21"/>
        </w:rPr>
      </w:pPr>
      <w:r>
        <w:rPr>
          <w:rFonts w:hint="eastAsia" w:ascii="宋体" w:hAnsi="宋体"/>
          <w:szCs w:val="21"/>
        </w:rPr>
        <w:t>4.我们同意从规定的开标日期起遵循本投标文件，并在规定的投标有效期期满之前均具有约束力。</w:t>
      </w:r>
    </w:p>
    <w:p w14:paraId="160F1B01">
      <w:pPr>
        <w:pStyle w:val="20"/>
        <w:spacing w:before="0" w:after="0" w:line="420" w:lineRule="exact"/>
        <w:rPr>
          <w:rFonts w:ascii="宋体" w:hAnsi="宋体"/>
          <w:szCs w:val="21"/>
        </w:rPr>
      </w:pPr>
      <w:r>
        <w:rPr>
          <w:rFonts w:hint="eastAsia" w:ascii="宋体" w:hAnsi="宋体"/>
          <w:szCs w:val="21"/>
        </w:rPr>
        <w:t>5.如果在开标后规定的投标有效期内撤回投标或中标后拒绝签订合同，则按照国家相关法律法规受到相应处罚。</w:t>
      </w:r>
    </w:p>
    <w:p w14:paraId="2DC1AA70">
      <w:pPr>
        <w:pStyle w:val="20"/>
        <w:spacing w:before="0" w:after="0" w:line="420" w:lineRule="exact"/>
        <w:rPr>
          <w:rFonts w:ascii="宋体" w:hAnsi="宋体"/>
          <w:szCs w:val="21"/>
        </w:rPr>
      </w:pPr>
      <w:r>
        <w:rPr>
          <w:rFonts w:hint="eastAsia" w:ascii="宋体" w:hAnsi="宋体"/>
          <w:szCs w:val="21"/>
        </w:rPr>
        <w:t>6.同意向贵方提供贵方可能另外要求的与投标有关的任何证据或资料，并保证我方已提供和将要提供的文件是真实的、准确的。</w:t>
      </w:r>
    </w:p>
    <w:p w14:paraId="6AD173B8">
      <w:pPr>
        <w:pStyle w:val="20"/>
        <w:spacing w:before="0" w:after="0" w:line="420" w:lineRule="exact"/>
        <w:rPr>
          <w:rFonts w:ascii="宋体" w:hAnsi="宋体"/>
          <w:szCs w:val="21"/>
        </w:rPr>
      </w:pPr>
      <w:r>
        <w:rPr>
          <w:rFonts w:hint="eastAsia" w:ascii="宋体" w:hAnsi="宋体"/>
          <w:szCs w:val="21"/>
        </w:rPr>
        <w:t>7.一旦我方中标,我方将根据招标文件的规定，严格履行合同的责任和义务,并保证在招标文件规定的时间完成项目，交付买方验收、使用。</w:t>
      </w:r>
    </w:p>
    <w:p w14:paraId="70907AEF">
      <w:pPr>
        <w:pStyle w:val="20"/>
        <w:spacing w:before="0" w:after="0" w:line="420" w:lineRule="exact"/>
        <w:ind w:left="425" w:firstLine="0"/>
        <w:rPr>
          <w:rFonts w:ascii="宋体" w:hAnsi="宋体"/>
          <w:szCs w:val="21"/>
        </w:rPr>
      </w:pPr>
      <w:r>
        <w:rPr>
          <w:rFonts w:hint="eastAsia" w:ascii="宋体" w:hAnsi="宋体"/>
          <w:szCs w:val="21"/>
        </w:rPr>
        <w:t>8.与本投标有关的正式通讯地址为：</w:t>
      </w:r>
    </w:p>
    <w:p w14:paraId="41A68D02">
      <w:pPr>
        <w:pStyle w:val="20"/>
        <w:spacing w:before="0" w:after="0" w:line="420" w:lineRule="exact"/>
        <w:ind w:left="420"/>
        <w:rPr>
          <w:rFonts w:ascii="宋体" w:hAnsi="宋体"/>
          <w:szCs w:val="21"/>
        </w:rPr>
      </w:pPr>
      <w:r>
        <w:rPr>
          <w:rFonts w:hint="eastAsia" w:ascii="宋体" w:hAnsi="宋体"/>
          <w:szCs w:val="21"/>
        </w:rPr>
        <w:t>地          址：</w:t>
      </w:r>
    </w:p>
    <w:p w14:paraId="40C7B191">
      <w:pPr>
        <w:pStyle w:val="20"/>
        <w:spacing w:before="0" w:after="0" w:line="420" w:lineRule="exact"/>
        <w:ind w:left="420"/>
        <w:rPr>
          <w:rFonts w:ascii="宋体" w:hAnsi="宋体"/>
          <w:szCs w:val="21"/>
        </w:rPr>
      </w:pPr>
      <w:r>
        <w:rPr>
          <w:rFonts w:hint="eastAsia" w:ascii="宋体" w:hAnsi="宋体"/>
          <w:szCs w:val="21"/>
        </w:rPr>
        <w:t>邮          编：</w:t>
      </w:r>
    </w:p>
    <w:p w14:paraId="74277882">
      <w:pPr>
        <w:pStyle w:val="20"/>
        <w:spacing w:before="0" w:after="0" w:line="420" w:lineRule="exact"/>
        <w:ind w:left="420"/>
        <w:rPr>
          <w:rFonts w:ascii="宋体" w:hAnsi="宋体"/>
          <w:szCs w:val="21"/>
        </w:rPr>
      </w:pPr>
      <w:r>
        <w:rPr>
          <w:rFonts w:hint="eastAsia" w:ascii="宋体" w:hAnsi="宋体"/>
          <w:szCs w:val="21"/>
        </w:rPr>
        <w:t>电          话：</w:t>
      </w:r>
    </w:p>
    <w:p w14:paraId="0DD6C484">
      <w:pPr>
        <w:pStyle w:val="20"/>
        <w:spacing w:before="0" w:after="0" w:line="420" w:lineRule="exact"/>
        <w:ind w:left="420"/>
        <w:rPr>
          <w:rFonts w:ascii="宋体" w:hAnsi="宋体"/>
          <w:szCs w:val="21"/>
        </w:rPr>
      </w:pPr>
      <w:r>
        <w:rPr>
          <w:rFonts w:hint="eastAsia" w:ascii="宋体" w:hAnsi="宋体"/>
          <w:szCs w:val="21"/>
        </w:rPr>
        <w:t>传          真：</w:t>
      </w:r>
    </w:p>
    <w:p w14:paraId="17848654">
      <w:pPr>
        <w:pStyle w:val="20"/>
        <w:spacing w:before="0" w:after="0" w:line="420" w:lineRule="exact"/>
        <w:ind w:left="420"/>
        <w:rPr>
          <w:rFonts w:ascii="宋体" w:hAnsi="宋体"/>
          <w:szCs w:val="21"/>
        </w:rPr>
      </w:pPr>
      <w:r>
        <w:rPr>
          <w:rFonts w:hint="eastAsia" w:ascii="宋体" w:hAnsi="宋体"/>
          <w:szCs w:val="21"/>
        </w:rPr>
        <w:t>投标人开户行：</w:t>
      </w:r>
    </w:p>
    <w:p w14:paraId="6DDDF888">
      <w:pPr>
        <w:pStyle w:val="20"/>
        <w:spacing w:before="0" w:after="0" w:line="420" w:lineRule="exact"/>
        <w:ind w:left="420"/>
        <w:rPr>
          <w:rFonts w:ascii="宋体" w:hAnsi="宋体"/>
          <w:szCs w:val="21"/>
        </w:rPr>
      </w:pPr>
      <w:r>
        <w:rPr>
          <w:rFonts w:hint="eastAsia" w:ascii="宋体" w:hAnsi="宋体"/>
          <w:szCs w:val="21"/>
        </w:rPr>
        <w:t xml:space="preserve">账          户： </w:t>
      </w:r>
    </w:p>
    <w:p w14:paraId="7BDB1664">
      <w:pPr>
        <w:pStyle w:val="20"/>
        <w:spacing w:before="0" w:after="0" w:line="420" w:lineRule="exact"/>
        <w:ind w:left="420"/>
        <w:rPr>
          <w:rFonts w:ascii="宋体" w:hAnsi="宋体"/>
          <w:szCs w:val="21"/>
        </w:rPr>
      </w:pPr>
      <w:r>
        <w:rPr>
          <w:rFonts w:hint="eastAsia" w:ascii="宋体" w:hAnsi="宋体"/>
          <w:szCs w:val="21"/>
        </w:rPr>
        <w:t xml:space="preserve">投标人授权代表姓名（签字）： </w:t>
      </w:r>
    </w:p>
    <w:p w14:paraId="55170121">
      <w:pPr>
        <w:pStyle w:val="20"/>
        <w:spacing w:before="0" w:after="0" w:line="420" w:lineRule="exact"/>
        <w:ind w:left="420"/>
        <w:rPr>
          <w:rFonts w:ascii="宋体" w:hAnsi="宋体"/>
          <w:szCs w:val="21"/>
        </w:rPr>
      </w:pPr>
      <w:r>
        <w:rPr>
          <w:rFonts w:hint="eastAsia" w:ascii="宋体" w:hAnsi="宋体"/>
          <w:szCs w:val="21"/>
        </w:rPr>
        <w:t xml:space="preserve">投标人名称（公章）： </w:t>
      </w:r>
    </w:p>
    <w:p w14:paraId="355D37E5">
      <w:pPr>
        <w:pStyle w:val="20"/>
        <w:spacing w:before="0" w:after="0" w:line="420" w:lineRule="exact"/>
        <w:ind w:left="420"/>
        <w:rPr>
          <w:rFonts w:hint="eastAsia" w:ascii="黑体" w:hAnsi="黑体" w:eastAsia="宋体" w:cs="黑体"/>
          <w:b/>
          <w:sz w:val="36"/>
          <w:szCs w:val="36"/>
          <w:lang w:val="en-US" w:eastAsia="zh-CN"/>
        </w:rPr>
        <w:sectPr>
          <w:pgSz w:w="11906" w:h="16838"/>
          <w:pgMar w:top="1440" w:right="1587" w:bottom="1440" w:left="1587" w:header="851" w:footer="907" w:gutter="0"/>
          <w:cols w:space="720" w:num="1"/>
          <w:docGrid w:linePitch="360" w:charSpace="0"/>
        </w:sectPr>
      </w:pPr>
      <w:r>
        <w:rPr>
          <w:rFonts w:hint="eastAsia" w:ascii="宋体" w:hAnsi="宋体"/>
          <w:szCs w:val="21"/>
        </w:rPr>
        <w:t>日           期：________年____月___</w:t>
      </w:r>
      <w:r>
        <w:rPr>
          <w:rFonts w:hint="eastAsia" w:ascii="宋体" w:hAnsi="宋体"/>
          <w:szCs w:val="21"/>
          <w:lang w:val="en-US" w:eastAsia="zh-CN"/>
        </w:rPr>
        <w:t>日</w:t>
      </w:r>
    </w:p>
    <w:p w14:paraId="6FBF316A">
      <w:pPr>
        <w:widowControl/>
        <w:spacing w:line="500" w:lineRule="exact"/>
        <w:jc w:val="center"/>
        <w:rPr>
          <w:rFonts w:hint="eastAsia" w:ascii="黑体" w:hAnsi="黑体" w:eastAsia="黑体" w:cs="黑体"/>
          <w:b/>
          <w:sz w:val="36"/>
          <w:szCs w:val="36"/>
          <w:lang w:eastAsia="zh-CN"/>
        </w:rPr>
      </w:pPr>
      <w:r>
        <w:rPr>
          <w:rFonts w:hint="eastAsia" w:ascii="黑体" w:hAnsi="黑体" w:eastAsia="黑体" w:cs="黑体"/>
          <w:b/>
          <w:sz w:val="36"/>
          <w:szCs w:val="36"/>
          <w:lang w:eastAsia="zh-CN"/>
        </w:rPr>
        <w:t>（</w:t>
      </w:r>
      <w:r>
        <w:rPr>
          <w:rFonts w:hint="eastAsia" w:ascii="黑体" w:hAnsi="黑体" w:eastAsia="黑体" w:cs="黑体"/>
          <w:b/>
          <w:sz w:val="36"/>
          <w:szCs w:val="36"/>
          <w:lang w:val="en-US" w:eastAsia="zh-CN"/>
        </w:rPr>
        <w:t>十</w:t>
      </w:r>
      <w:r>
        <w:rPr>
          <w:rFonts w:hint="eastAsia" w:ascii="黑体" w:hAnsi="黑体" w:eastAsia="黑体" w:cs="黑体"/>
          <w:b/>
          <w:sz w:val="36"/>
          <w:szCs w:val="36"/>
          <w:lang w:eastAsia="zh-CN"/>
        </w:rPr>
        <w:t>）中小企业声明函（服务）</w:t>
      </w:r>
    </w:p>
    <w:p w14:paraId="6F230320">
      <w:pPr>
        <w:spacing w:line="560" w:lineRule="exact"/>
        <w:rPr>
          <w:rFonts w:ascii="宋体" w:hAnsi="宋体"/>
          <w:b/>
          <w:bCs/>
          <w:sz w:val="28"/>
          <w:szCs w:val="28"/>
        </w:rPr>
      </w:pPr>
    </w:p>
    <w:p w14:paraId="6BF4BB03">
      <w:pPr>
        <w:widowControl/>
        <w:ind w:firstLine="480"/>
        <w:jc w:val="left"/>
        <w:rPr>
          <w:rFonts w:ascii="宋体" w:hAnsi="宋体" w:cs="宋体"/>
          <w:sz w:val="24"/>
          <w:szCs w:val="24"/>
        </w:rPr>
      </w:pPr>
      <w:r>
        <w:rPr>
          <w:rFonts w:hint="eastAsia" w:ascii="宋体" w:hAnsi="宋体" w:cs="宋体"/>
          <w:sz w:val="24"/>
          <w:szCs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42B03C4D">
      <w:pPr>
        <w:widowControl/>
        <w:numPr>
          <w:ilvl w:val="0"/>
          <w:numId w:val="4"/>
        </w:numPr>
        <w:ind w:firstLine="480"/>
        <w:jc w:val="left"/>
        <w:rPr>
          <w:rFonts w:ascii="宋体" w:hAnsi="宋体" w:cs="宋体"/>
          <w:sz w:val="24"/>
          <w:szCs w:val="24"/>
        </w:rPr>
      </w:pPr>
      <w:r>
        <w:rPr>
          <w:rFonts w:hint="eastAsia" w:ascii="宋体" w:hAnsi="宋体" w:cs="宋体"/>
          <w:i/>
          <w:iCs/>
          <w:sz w:val="24"/>
          <w:szCs w:val="24"/>
          <w:u w:val="single"/>
        </w:rPr>
        <w:t xml:space="preserve">（标的名称） </w:t>
      </w:r>
      <w:r>
        <w:rPr>
          <w:rFonts w:hint="eastAsia" w:ascii="宋体" w:hAnsi="宋体" w:cs="宋体"/>
          <w:sz w:val="24"/>
          <w:szCs w:val="24"/>
        </w:rPr>
        <w:t>，属于</w:t>
      </w:r>
      <w:r>
        <w:rPr>
          <w:rFonts w:hint="eastAsia" w:ascii="宋体" w:hAnsi="宋体" w:cs="宋体"/>
          <w:i/>
          <w:iCs/>
          <w:sz w:val="24"/>
          <w:szCs w:val="24"/>
          <w:u w:val="single"/>
        </w:rPr>
        <w:t>其他未列明</w:t>
      </w:r>
      <w:r>
        <w:rPr>
          <w:rFonts w:hint="eastAsia" w:ascii="宋体" w:hAnsi="宋体" w:cs="宋体"/>
          <w:sz w:val="24"/>
          <w:szCs w:val="24"/>
        </w:rPr>
        <w:t>行业；承接（承接）企业为</w:t>
      </w:r>
      <w:r>
        <w:rPr>
          <w:rFonts w:hint="eastAsia" w:ascii="宋体" w:hAnsi="宋体" w:cs="宋体"/>
          <w:i/>
          <w:iCs/>
          <w:sz w:val="24"/>
          <w:szCs w:val="24"/>
          <w:u w:val="single"/>
        </w:rPr>
        <w:t>（企业名称）</w:t>
      </w:r>
      <w:r>
        <w:rPr>
          <w:rFonts w:hint="eastAsia" w:ascii="宋体" w:hAnsi="宋体" w:cs="宋体"/>
          <w:sz w:val="24"/>
          <w:szCs w:val="24"/>
        </w:rPr>
        <w:t>，从业人员</w:t>
      </w:r>
      <w:r>
        <w:rPr>
          <w:rFonts w:hint="eastAsia" w:ascii="宋体" w:hAnsi="宋体" w:cs="宋体"/>
          <w:i/>
          <w:iCs/>
          <w:sz w:val="24"/>
          <w:szCs w:val="24"/>
          <w:u w:val="single"/>
        </w:rPr>
        <w:t xml:space="preserve">        </w:t>
      </w:r>
      <w:r>
        <w:rPr>
          <w:rFonts w:hint="eastAsia" w:ascii="宋体" w:hAnsi="宋体" w:cs="宋体"/>
          <w:sz w:val="24"/>
          <w:szCs w:val="24"/>
        </w:rPr>
        <w:t>人，营业收入为</w:t>
      </w:r>
      <w:r>
        <w:rPr>
          <w:rFonts w:hint="eastAsia" w:ascii="宋体" w:hAnsi="宋体" w:cs="宋体"/>
          <w:i/>
          <w:iCs/>
          <w:sz w:val="24"/>
          <w:szCs w:val="24"/>
          <w:u w:val="single"/>
        </w:rPr>
        <w:t xml:space="preserve">        </w:t>
      </w:r>
      <w:r>
        <w:rPr>
          <w:rFonts w:hint="eastAsia" w:ascii="宋体" w:hAnsi="宋体" w:cs="宋体"/>
          <w:sz w:val="24"/>
          <w:szCs w:val="24"/>
        </w:rPr>
        <w:t>万元，资产总额为</w:t>
      </w:r>
      <w:r>
        <w:rPr>
          <w:rFonts w:hint="eastAsia" w:ascii="宋体" w:hAnsi="宋体" w:cs="宋体"/>
          <w:i/>
          <w:iCs/>
          <w:sz w:val="24"/>
          <w:szCs w:val="24"/>
          <w:u w:val="single"/>
        </w:rPr>
        <w:t xml:space="preserve">        </w:t>
      </w:r>
      <w:r>
        <w:rPr>
          <w:rFonts w:hint="eastAsia" w:ascii="宋体" w:hAnsi="宋体" w:cs="宋体"/>
          <w:sz w:val="24"/>
          <w:szCs w:val="24"/>
        </w:rPr>
        <w:t>万元，属于</w:t>
      </w:r>
      <w:r>
        <w:rPr>
          <w:rFonts w:hint="eastAsia" w:ascii="宋体" w:hAnsi="宋体" w:cs="宋体"/>
          <w:i/>
          <w:iCs/>
          <w:sz w:val="24"/>
          <w:szCs w:val="24"/>
          <w:u w:val="single"/>
        </w:rPr>
        <w:t>（中型企业、小型企业、微型企业）</w:t>
      </w:r>
      <w:r>
        <w:rPr>
          <w:rFonts w:hint="eastAsia" w:ascii="宋体" w:hAnsi="宋体" w:cs="宋体"/>
          <w:sz w:val="24"/>
          <w:szCs w:val="24"/>
        </w:rPr>
        <w:t>；</w:t>
      </w:r>
    </w:p>
    <w:p w14:paraId="252917E5">
      <w:pPr>
        <w:widowControl/>
        <w:ind w:firstLine="480"/>
        <w:jc w:val="left"/>
        <w:rPr>
          <w:rFonts w:ascii="宋体" w:hAnsi="宋体" w:cs="宋体"/>
          <w:sz w:val="24"/>
          <w:szCs w:val="24"/>
        </w:rPr>
      </w:pPr>
      <w:r>
        <w:rPr>
          <w:rFonts w:hint="eastAsia" w:ascii="宋体" w:hAnsi="宋体" w:cs="宋体"/>
          <w:sz w:val="24"/>
          <w:szCs w:val="24"/>
        </w:rPr>
        <w:t>……</w:t>
      </w:r>
    </w:p>
    <w:p w14:paraId="790F4918">
      <w:pPr>
        <w:widowControl/>
        <w:ind w:firstLine="480"/>
        <w:jc w:val="left"/>
        <w:rPr>
          <w:rFonts w:ascii="宋体" w:hAnsi="宋体" w:cs="宋体"/>
          <w:sz w:val="24"/>
          <w:szCs w:val="24"/>
        </w:rPr>
      </w:pPr>
      <w:r>
        <w:rPr>
          <w:rFonts w:hint="eastAsia" w:ascii="宋体" w:hAnsi="宋体" w:cs="宋体"/>
          <w:sz w:val="24"/>
          <w:szCs w:val="24"/>
        </w:rPr>
        <w:t>以上企业，不属于大企业的分支机构，不存在控股股东为大企业的情形，也不存在与大企业的负责人为同一人的情形。</w:t>
      </w:r>
    </w:p>
    <w:p w14:paraId="27E64428">
      <w:pPr>
        <w:widowControl/>
        <w:ind w:firstLine="480"/>
        <w:jc w:val="left"/>
        <w:rPr>
          <w:rFonts w:ascii="宋体" w:hAnsi="宋体" w:cs="宋体"/>
          <w:sz w:val="24"/>
          <w:szCs w:val="24"/>
        </w:rPr>
      </w:pPr>
      <w:r>
        <w:rPr>
          <w:rFonts w:hint="eastAsia" w:ascii="宋体" w:hAnsi="宋体" w:cs="宋体"/>
          <w:sz w:val="24"/>
          <w:szCs w:val="24"/>
        </w:rPr>
        <w:t>本企业对上述声明内容的真实性负责。如有虚假，将依法承担相应责任。</w:t>
      </w:r>
    </w:p>
    <w:p w14:paraId="158A9EA7">
      <w:pPr>
        <w:widowControl/>
        <w:ind w:firstLine="4080"/>
        <w:jc w:val="left"/>
        <w:rPr>
          <w:rFonts w:ascii="宋体" w:hAnsi="宋体" w:cs="宋体"/>
          <w:sz w:val="24"/>
          <w:szCs w:val="24"/>
        </w:rPr>
      </w:pPr>
      <w:r>
        <w:rPr>
          <w:rFonts w:hint="eastAsia" w:ascii="宋体" w:hAnsi="宋体" w:cs="宋体"/>
          <w:sz w:val="24"/>
          <w:szCs w:val="24"/>
        </w:rPr>
        <w:t>企业名称（盖章）：</w:t>
      </w:r>
    </w:p>
    <w:p w14:paraId="7CF4B3DB">
      <w:pPr>
        <w:widowControl/>
        <w:ind w:firstLine="4080"/>
        <w:jc w:val="left"/>
        <w:rPr>
          <w:rFonts w:ascii="宋体" w:hAnsi="宋体" w:cs="宋体"/>
          <w:sz w:val="24"/>
          <w:szCs w:val="24"/>
        </w:rPr>
      </w:pPr>
      <w:r>
        <w:rPr>
          <w:rFonts w:hint="eastAsia" w:ascii="宋体" w:hAnsi="宋体" w:cs="宋体"/>
          <w:sz w:val="24"/>
          <w:szCs w:val="24"/>
        </w:rPr>
        <w:t>日期：</w:t>
      </w:r>
    </w:p>
    <w:p w14:paraId="278128B6">
      <w:pPr>
        <w:spacing w:line="560" w:lineRule="exact"/>
        <w:jc w:val="center"/>
        <w:rPr>
          <w:rFonts w:ascii="宋体" w:hAnsi="宋体"/>
          <w:b/>
          <w:bCs/>
        </w:rPr>
      </w:pPr>
      <w:r>
        <w:rPr>
          <w:rFonts w:hint="eastAsia" w:ascii="宋体" w:hAnsi="宋体"/>
          <w:b/>
          <w:bCs/>
        </w:rPr>
        <w:t>从业人员、营业收入、资产总额填报上一年度数据，无上一年度数据的新成立企业可不填报。</w:t>
      </w:r>
    </w:p>
    <w:p w14:paraId="51DFD0C4">
      <w:pPr>
        <w:jc w:val="center"/>
        <w:rPr>
          <w:rFonts w:ascii="宋体" w:hAnsi="宋体" w:cs="宋体"/>
          <w:b/>
          <w:sz w:val="36"/>
          <w:szCs w:val="36"/>
        </w:rPr>
      </w:pPr>
    </w:p>
    <w:p w14:paraId="6F369A4F">
      <w:pPr>
        <w:jc w:val="center"/>
        <w:rPr>
          <w:rFonts w:ascii="宋体" w:hAnsi="宋体" w:cs="宋体"/>
          <w:b/>
          <w:sz w:val="36"/>
          <w:szCs w:val="36"/>
        </w:rPr>
      </w:pPr>
    </w:p>
    <w:p w14:paraId="12C31620">
      <w:pPr>
        <w:pStyle w:val="6"/>
        <w:rPr>
          <w:rFonts w:ascii="宋体" w:hAnsi="宋体" w:cs="宋体"/>
          <w:b/>
          <w:sz w:val="36"/>
          <w:szCs w:val="36"/>
        </w:rPr>
      </w:pPr>
    </w:p>
    <w:p w14:paraId="2696D350">
      <w:pPr>
        <w:rPr>
          <w:rFonts w:ascii="宋体" w:hAnsi="宋体" w:cs="宋体"/>
          <w:b/>
          <w:sz w:val="36"/>
          <w:szCs w:val="36"/>
        </w:rPr>
      </w:pPr>
    </w:p>
    <w:p w14:paraId="46285C50">
      <w:pPr>
        <w:pStyle w:val="6"/>
        <w:rPr>
          <w:rFonts w:ascii="宋体" w:hAnsi="宋体" w:cs="宋体"/>
          <w:b/>
          <w:sz w:val="36"/>
          <w:szCs w:val="36"/>
        </w:rPr>
      </w:pPr>
    </w:p>
    <w:p w14:paraId="3B446172">
      <w:pPr>
        <w:rPr>
          <w:rFonts w:ascii="宋体" w:hAnsi="宋体" w:cs="宋体"/>
          <w:b/>
          <w:sz w:val="36"/>
          <w:szCs w:val="36"/>
        </w:rPr>
      </w:pPr>
    </w:p>
    <w:p w14:paraId="7838649F">
      <w:pPr>
        <w:pStyle w:val="6"/>
        <w:rPr>
          <w:rFonts w:ascii="宋体" w:hAnsi="宋体" w:cs="宋体"/>
          <w:b/>
          <w:sz w:val="36"/>
          <w:szCs w:val="36"/>
        </w:rPr>
      </w:pPr>
    </w:p>
    <w:p w14:paraId="7050FBA9">
      <w:pPr>
        <w:rPr>
          <w:rFonts w:ascii="宋体" w:hAnsi="宋体" w:cs="宋体"/>
          <w:b/>
          <w:sz w:val="36"/>
          <w:szCs w:val="36"/>
        </w:rPr>
      </w:pPr>
    </w:p>
    <w:p w14:paraId="595FADA9">
      <w:pPr>
        <w:pStyle w:val="6"/>
        <w:rPr>
          <w:rFonts w:ascii="宋体" w:hAnsi="宋体" w:cs="宋体"/>
          <w:b/>
          <w:sz w:val="36"/>
          <w:szCs w:val="36"/>
        </w:rPr>
      </w:pPr>
    </w:p>
    <w:p w14:paraId="3769E342">
      <w:pPr>
        <w:rPr>
          <w:rFonts w:ascii="宋体" w:hAnsi="宋体" w:cs="宋体"/>
          <w:b/>
          <w:sz w:val="36"/>
          <w:szCs w:val="36"/>
        </w:rPr>
      </w:pPr>
    </w:p>
    <w:p w14:paraId="20B05107">
      <w:pPr>
        <w:pStyle w:val="6"/>
        <w:rPr>
          <w:rFonts w:ascii="宋体" w:hAnsi="宋体" w:cs="宋体"/>
          <w:b/>
          <w:sz w:val="36"/>
          <w:szCs w:val="36"/>
        </w:rPr>
      </w:pPr>
    </w:p>
    <w:p w14:paraId="0D442561">
      <w:pPr>
        <w:rPr>
          <w:rFonts w:ascii="宋体" w:hAnsi="宋体" w:cs="宋体"/>
          <w:b/>
          <w:sz w:val="36"/>
          <w:szCs w:val="36"/>
        </w:rPr>
      </w:pPr>
    </w:p>
    <w:p w14:paraId="107C3F87">
      <w:pPr>
        <w:pStyle w:val="6"/>
      </w:pPr>
    </w:p>
    <w:p w14:paraId="4DFFCD96">
      <w:pPr>
        <w:jc w:val="center"/>
        <w:rPr>
          <w:rFonts w:ascii="宋体" w:hAnsi="宋体" w:cs="宋体"/>
          <w:b/>
          <w:sz w:val="36"/>
          <w:szCs w:val="36"/>
        </w:rPr>
      </w:pPr>
    </w:p>
    <w:p w14:paraId="47CED7B3">
      <w:pPr>
        <w:jc w:val="center"/>
        <w:rPr>
          <w:rFonts w:ascii="宋体" w:hAnsi="宋体" w:cs="宋体"/>
          <w:b/>
          <w:sz w:val="36"/>
          <w:szCs w:val="36"/>
        </w:rPr>
      </w:pPr>
    </w:p>
    <w:p w14:paraId="45BDD84C">
      <w:pPr>
        <w:jc w:val="center"/>
        <w:rPr>
          <w:rFonts w:ascii="宋体" w:hAnsi="宋体" w:cs="宋体"/>
          <w:b/>
          <w:sz w:val="36"/>
          <w:szCs w:val="36"/>
        </w:rPr>
      </w:pPr>
    </w:p>
    <w:p w14:paraId="629B344B">
      <w:pPr>
        <w:jc w:val="center"/>
        <w:rPr>
          <w:rFonts w:ascii="宋体" w:hAnsi="宋体" w:cs="宋体"/>
          <w:b/>
          <w:sz w:val="36"/>
          <w:szCs w:val="36"/>
        </w:rPr>
      </w:pPr>
    </w:p>
    <w:p w14:paraId="7527BA8B">
      <w:pPr>
        <w:widowControl/>
        <w:spacing w:line="500" w:lineRule="exact"/>
        <w:jc w:val="center"/>
        <w:rPr>
          <w:rFonts w:hint="eastAsia" w:ascii="黑体" w:hAnsi="黑体" w:eastAsia="黑体" w:cs="黑体"/>
          <w:b/>
          <w:sz w:val="36"/>
          <w:szCs w:val="36"/>
        </w:rPr>
      </w:pPr>
      <w:r>
        <w:rPr>
          <w:rFonts w:hint="eastAsia" w:ascii="黑体" w:hAnsi="黑体" w:eastAsia="黑体" w:cs="黑体"/>
          <w:b/>
          <w:sz w:val="36"/>
          <w:szCs w:val="36"/>
          <w:lang w:eastAsia="zh-CN"/>
        </w:rPr>
        <w:t>（</w:t>
      </w:r>
      <w:r>
        <w:rPr>
          <w:rFonts w:hint="eastAsia" w:ascii="黑体" w:hAnsi="黑体" w:eastAsia="黑体" w:cs="黑体"/>
          <w:b/>
          <w:sz w:val="36"/>
          <w:szCs w:val="36"/>
          <w:lang w:val="en-US" w:eastAsia="zh-CN"/>
        </w:rPr>
        <w:t>十一</w:t>
      </w:r>
      <w:r>
        <w:rPr>
          <w:rFonts w:hint="eastAsia" w:ascii="黑体" w:hAnsi="黑体" w:eastAsia="黑体" w:cs="黑体"/>
          <w:b/>
          <w:sz w:val="36"/>
          <w:szCs w:val="36"/>
          <w:lang w:eastAsia="zh-CN"/>
        </w:rPr>
        <w:t>）</w:t>
      </w:r>
      <w:r>
        <w:rPr>
          <w:rFonts w:hint="eastAsia" w:ascii="黑体" w:hAnsi="黑体" w:eastAsia="黑体" w:cs="黑体"/>
          <w:b/>
          <w:sz w:val="36"/>
          <w:szCs w:val="36"/>
        </w:rPr>
        <w:t>残疾人福利性单位声明函（如有）</w:t>
      </w:r>
    </w:p>
    <w:p w14:paraId="1888AAB6">
      <w:pPr>
        <w:spacing w:line="588" w:lineRule="exact"/>
        <w:rPr>
          <w:rFonts w:ascii="仿宋_GB2312" w:eastAsia="仿宋_GB2312"/>
          <w:b/>
          <w:spacing w:val="6"/>
          <w:sz w:val="30"/>
          <w:szCs w:val="30"/>
        </w:rPr>
      </w:pPr>
    </w:p>
    <w:p w14:paraId="3946327F">
      <w:pPr>
        <w:spacing w:line="588" w:lineRule="exact"/>
        <w:ind w:firstLine="504"/>
        <w:rPr>
          <w:rFonts w:ascii="宋体" w:hAnsi="宋体" w:cs="宋体"/>
          <w:spacing w:val="6"/>
          <w:sz w:val="24"/>
        </w:rPr>
      </w:pPr>
      <w:r>
        <w:rPr>
          <w:rFonts w:hint="eastAsia" w:ascii="宋体" w:hAnsi="宋体" w:cs="宋体"/>
          <w:spacing w:val="6"/>
          <w:sz w:val="24"/>
        </w:rPr>
        <w:t>本单位郑重声明，根据《财政部 民政部 中国残疾人联合会关于促进残疾人就业政府采购政策的通知》（财库</w:t>
      </w:r>
      <w:r>
        <w:rPr>
          <w:rFonts w:hint="eastAsia" w:ascii="宋体" w:hAnsi="宋体" w:cs="宋体"/>
          <w:sz w:val="24"/>
        </w:rPr>
        <w:t>〔2017〕141</w:t>
      </w:r>
      <w:r>
        <w:rPr>
          <w:rFonts w:hint="eastAsia" w:ascii="宋体" w:hAnsi="宋体" w:cs="宋体"/>
          <w:spacing w:val="6"/>
          <w:sz w:val="24"/>
        </w:rPr>
        <w:t>号）的规定，本单位为符合条件的残疾人福利性单位，且本单位参加</w:t>
      </w:r>
      <w:r>
        <w:rPr>
          <w:rFonts w:hint="eastAsia" w:ascii="宋体" w:hAnsi="宋体" w:cs="宋体"/>
          <w:spacing w:val="6"/>
          <w:sz w:val="24"/>
          <w:u w:val="single"/>
        </w:rPr>
        <w:t xml:space="preserve"> </w:t>
      </w:r>
      <w:r>
        <w:rPr>
          <w:rFonts w:hint="eastAsia" w:hAnsi="宋体" w:cs="宋体"/>
          <w:b/>
          <w:bCs/>
          <w:sz w:val="24"/>
          <w:u w:val="single"/>
          <w:lang w:eastAsia="zh-CN"/>
        </w:rPr>
        <w:t>盐城市大丰区新丰镇人民政府</w:t>
      </w:r>
      <w:r>
        <w:rPr>
          <w:rFonts w:hint="eastAsia" w:ascii="宋体" w:hAnsi="宋体" w:cs="宋体"/>
          <w:b/>
          <w:bCs/>
          <w:sz w:val="24"/>
          <w:u w:val="single"/>
        </w:rPr>
        <w:t xml:space="preserve"> </w:t>
      </w:r>
      <w:r>
        <w:rPr>
          <w:rFonts w:hint="eastAsia" w:ascii="宋体" w:hAnsi="宋体" w:cs="宋体"/>
          <w:spacing w:val="6"/>
          <w:sz w:val="24"/>
        </w:rPr>
        <w:t>的</w:t>
      </w:r>
      <w:r>
        <w:rPr>
          <w:rFonts w:hint="eastAsia" w:ascii="宋体" w:hAnsi="宋体" w:cs="宋体"/>
          <w:spacing w:val="6"/>
          <w:sz w:val="24"/>
          <w:u w:val="single"/>
        </w:rPr>
        <w:t xml:space="preserve"> </w:t>
      </w:r>
      <w:r>
        <w:rPr>
          <w:rFonts w:hint="eastAsia" w:ascii="宋体" w:hAnsi="宋体" w:cs="宋体"/>
          <w:b/>
          <w:bCs/>
          <w:sz w:val="24"/>
          <w:u w:val="single"/>
          <w:lang w:eastAsia="zh-CN"/>
        </w:rPr>
        <w:t>盐城市大丰区2026年斗龙港水面漂浮物打捞服务项目</w:t>
      </w:r>
      <w:r>
        <w:rPr>
          <w:rFonts w:hint="eastAsia" w:ascii="宋体" w:hAnsi="宋体" w:cs="宋体"/>
          <w:spacing w:val="6"/>
          <w:sz w:val="24"/>
        </w:rPr>
        <w:t>采购活动提供本单位制造的货物（由本单位承担工程/提供服务），或者提供其他残疾人福利性单位制造的货物（不包括使用非残疾人福利性单位注册商标的货物）。</w:t>
      </w:r>
    </w:p>
    <w:p w14:paraId="34C0EB31">
      <w:pPr>
        <w:spacing w:line="588" w:lineRule="exact"/>
        <w:ind w:firstLine="504"/>
        <w:rPr>
          <w:rFonts w:ascii="宋体" w:hAnsi="宋体" w:cs="宋体"/>
          <w:spacing w:val="6"/>
          <w:sz w:val="24"/>
        </w:rPr>
      </w:pPr>
      <w:r>
        <w:rPr>
          <w:rFonts w:hint="eastAsia" w:ascii="宋体" w:hAnsi="宋体" w:cs="宋体"/>
          <w:spacing w:val="6"/>
          <w:sz w:val="24"/>
        </w:rPr>
        <w:t>本单位在本次政府采购活动中提供的残疾人福利单位产品报价合计为人民币（大写）</w:t>
      </w:r>
      <w:r>
        <w:rPr>
          <w:rFonts w:hint="eastAsia" w:ascii="宋体" w:hAnsi="宋体" w:cs="宋体"/>
          <w:spacing w:val="6"/>
          <w:sz w:val="24"/>
          <w:u w:val="single"/>
        </w:rPr>
        <w:t>      元整</w:t>
      </w:r>
      <w:r>
        <w:rPr>
          <w:rFonts w:hint="eastAsia" w:ascii="宋体" w:hAnsi="宋体" w:cs="宋体"/>
          <w:spacing w:val="6"/>
          <w:sz w:val="24"/>
        </w:rPr>
        <w:t>（￥</w:t>
      </w:r>
      <w:r>
        <w:rPr>
          <w:rFonts w:hint="eastAsia" w:ascii="宋体" w:hAnsi="宋体" w:cs="宋体"/>
          <w:spacing w:val="6"/>
          <w:sz w:val="24"/>
          <w:u w:val="single"/>
        </w:rPr>
        <w:t>：     </w:t>
      </w:r>
      <w:r>
        <w:rPr>
          <w:rFonts w:hint="eastAsia" w:ascii="宋体" w:hAnsi="宋体" w:cs="宋体"/>
          <w:spacing w:val="6"/>
          <w:sz w:val="24"/>
        </w:rPr>
        <w:t>）。</w:t>
      </w:r>
    </w:p>
    <w:p w14:paraId="60F5FF16">
      <w:pPr>
        <w:spacing w:line="588" w:lineRule="exact"/>
        <w:ind w:firstLine="504"/>
        <w:rPr>
          <w:rFonts w:ascii="宋体" w:hAnsi="宋体" w:cs="宋体"/>
          <w:spacing w:val="6"/>
          <w:sz w:val="24"/>
        </w:rPr>
      </w:pPr>
      <w:r>
        <w:rPr>
          <w:rFonts w:hint="eastAsia" w:ascii="宋体" w:hAnsi="宋体" w:cs="宋体"/>
          <w:spacing w:val="6"/>
          <w:sz w:val="24"/>
        </w:rPr>
        <w:t>本单位对上述声明的真实性负责。如有虚假，将依法承担相应责任。</w:t>
      </w:r>
    </w:p>
    <w:p w14:paraId="37480F0A">
      <w:pPr>
        <w:spacing w:line="588" w:lineRule="exact"/>
        <w:ind w:firstLine="504"/>
        <w:rPr>
          <w:rFonts w:ascii="宋体" w:hAnsi="宋体" w:cs="宋体"/>
          <w:spacing w:val="6"/>
          <w:sz w:val="24"/>
        </w:rPr>
      </w:pPr>
    </w:p>
    <w:p w14:paraId="42892E7A">
      <w:pPr>
        <w:spacing w:line="588" w:lineRule="exact"/>
        <w:ind w:firstLine="504"/>
        <w:rPr>
          <w:rFonts w:ascii="宋体" w:hAnsi="宋体" w:cs="宋体"/>
          <w:spacing w:val="6"/>
          <w:sz w:val="24"/>
        </w:rPr>
      </w:pPr>
      <w:r>
        <w:rPr>
          <w:rFonts w:hint="eastAsia" w:ascii="宋体" w:hAnsi="宋体" w:cs="宋体"/>
          <w:spacing w:val="6"/>
          <w:sz w:val="24"/>
        </w:rPr>
        <w:t>（备注：1、投标人如不提供此声明函，价格将不做相应扣除。2、中标投标人为残疾人福利单位的，此声明函将随中标结果同时公告，接受社会监督）</w:t>
      </w:r>
    </w:p>
    <w:p w14:paraId="2E13EE5C">
      <w:pPr>
        <w:spacing w:line="588" w:lineRule="exact"/>
        <w:ind w:firstLine="504"/>
        <w:rPr>
          <w:rFonts w:ascii="仿宋_GB2312" w:eastAsia="仿宋_GB2312"/>
          <w:spacing w:val="6"/>
          <w:sz w:val="24"/>
        </w:rPr>
      </w:pPr>
    </w:p>
    <w:p w14:paraId="60F7292C">
      <w:pPr>
        <w:spacing w:line="588" w:lineRule="exact"/>
        <w:ind w:firstLine="504"/>
        <w:rPr>
          <w:rFonts w:ascii="仿宋_GB2312" w:eastAsia="仿宋_GB2312"/>
          <w:spacing w:val="6"/>
          <w:sz w:val="24"/>
        </w:rPr>
      </w:pPr>
    </w:p>
    <w:p w14:paraId="1F653B57">
      <w:pPr>
        <w:tabs>
          <w:tab w:val="left" w:pos="4860"/>
        </w:tabs>
        <w:spacing w:line="588" w:lineRule="exact"/>
        <w:ind w:right="1560" w:firstLine="504"/>
        <w:jc w:val="right"/>
        <w:rPr>
          <w:rFonts w:ascii="宋体" w:hAnsi="宋体" w:cs="宋体"/>
          <w:spacing w:val="6"/>
          <w:sz w:val="24"/>
        </w:rPr>
      </w:pPr>
      <w:r>
        <w:rPr>
          <w:rFonts w:hint="eastAsia" w:ascii="宋体" w:hAnsi="宋体" w:cs="宋体"/>
          <w:spacing w:val="6"/>
          <w:sz w:val="24"/>
        </w:rPr>
        <w:t>授权代表亲笔签名：</w:t>
      </w:r>
    </w:p>
    <w:p w14:paraId="67618768">
      <w:pPr>
        <w:spacing w:line="588" w:lineRule="exact"/>
        <w:ind w:right="286" w:firstLine="504"/>
        <w:jc w:val="right"/>
        <w:rPr>
          <w:rFonts w:ascii="宋体" w:hAnsi="宋体" w:cs="宋体"/>
          <w:spacing w:val="6"/>
          <w:sz w:val="24"/>
        </w:rPr>
      </w:pPr>
      <w:r>
        <w:rPr>
          <w:rFonts w:hint="eastAsia" w:ascii="宋体" w:hAnsi="宋体" w:cs="宋体"/>
          <w:spacing w:val="6"/>
          <w:sz w:val="24"/>
        </w:rPr>
        <w:t>日期：________年____月____日</w:t>
      </w:r>
    </w:p>
    <w:p w14:paraId="7EBB4820"/>
    <w:p w14:paraId="19373671">
      <w:pPr>
        <w:spacing w:line="480" w:lineRule="exact"/>
        <w:ind w:firstLine="723"/>
        <w:rPr>
          <w:rFonts w:ascii="宋体" w:hAnsi="宋体" w:cs="宋体"/>
          <w:b/>
          <w:sz w:val="36"/>
          <w:szCs w:val="36"/>
        </w:rPr>
      </w:pPr>
    </w:p>
    <w:p w14:paraId="306C048D">
      <w:pPr>
        <w:pStyle w:val="10"/>
        <w:rPr>
          <w:rFonts w:hint="eastAsia" w:ascii="宋体" w:hAnsi="宋体" w:cs="Arial"/>
          <w:b/>
          <w:bCs/>
          <w:sz w:val="36"/>
          <w:szCs w:val="36"/>
        </w:rPr>
      </w:pPr>
      <w:r>
        <w:rPr>
          <w:rFonts w:hint="eastAsia" w:ascii="宋体" w:hAnsi="宋体" w:cs="宋体"/>
          <w:b/>
          <w:sz w:val="32"/>
          <w:szCs w:val="32"/>
        </w:rPr>
        <w:br w:type="page" w:clear="all"/>
      </w:r>
    </w:p>
    <w:p w14:paraId="5A6CDE93">
      <w:pPr>
        <w:pStyle w:val="13"/>
        <w:spacing w:beforeAutospacing="0" w:afterAutospacing="0"/>
        <w:jc w:val="center"/>
        <w:rPr>
          <w:rFonts w:hint="eastAsia" w:eastAsia="黑体" w:cs="Arial"/>
          <w:b/>
          <w:bCs/>
          <w:sz w:val="36"/>
          <w:szCs w:val="36"/>
          <w:lang w:val="en-US" w:eastAsia="zh-CN"/>
        </w:rPr>
      </w:pPr>
      <w:r>
        <w:rPr>
          <w:rFonts w:hint="eastAsia" w:eastAsia="黑体" w:cs="Arial"/>
          <w:b/>
          <w:bCs/>
          <w:sz w:val="36"/>
          <w:szCs w:val="36"/>
          <w:lang w:val="en-US" w:eastAsia="zh-CN"/>
        </w:rPr>
        <w:t>（十二）商务要求响应及偏离表</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4"/>
        <w:gridCol w:w="2852"/>
        <w:gridCol w:w="2852"/>
        <w:gridCol w:w="1308"/>
        <w:gridCol w:w="1173"/>
      </w:tblGrid>
      <w:tr w14:paraId="2E097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84" w:type="dxa"/>
            <w:noWrap w:val="0"/>
            <w:vAlign w:val="center"/>
          </w:tcPr>
          <w:p w14:paraId="202FB9F4">
            <w:pPr>
              <w:jc w:val="center"/>
              <w:rPr>
                <w:rFonts w:ascii="宋体" w:hAnsi="宋体"/>
                <w:sz w:val="24"/>
                <w:szCs w:val="24"/>
              </w:rPr>
            </w:pPr>
            <w:r>
              <w:rPr>
                <w:rFonts w:hint="eastAsia" w:ascii="宋体" w:hAnsi="宋体"/>
                <w:sz w:val="24"/>
                <w:szCs w:val="24"/>
              </w:rPr>
              <w:t>序号</w:t>
            </w:r>
          </w:p>
        </w:tc>
        <w:tc>
          <w:tcPr>
            <w:tcW w:w="2852" w:type="dxa"/>
            <w:noWrap w:val="0"/>
            <w:vAlign w:val="center"/>
          </w:tcPr>
          <w:p w14:paraId="1A969EE0">
            <w:pPr>
              <w:jc w:val="center"/>
              <w:rPr>
                <w:rFonts w:ascii="宋体" w:hAnsi="宋体"/>
                <w:sz w:val="24"/>
                <w:szCs w:val="24"/>
              </w:rPr>
            </w:pPr>
            <w:r>
              <w:rPr>
                <w:rFonts w:hint="eastAsia" w:ascii="宋体" w:hAnsi="宋体"/>
                <w:sz w:val="24"/>
                <w:szCs w:val="24"/>
              </w:rPr>
              <w:t>招标要求</w:t>
            </w:r>
          </w:p>
        </w:tc>
        <w:tc>
          <w:tcPr>
            <w:tcW w:w="2852" w:type="dxa"/>
            <w:noWrap w:val="0"/>
            <w:vAlign w:val="center"/>
          </w:tcPr>
          <w:p w14:paraId="5BD2631A">
            <w:pPr>
              <w:jc w:val="center"/>
              <w:rPr>
                <w:rFonts w:ascii="宋体" w:hAnsi="宋体"/>
                <w:sz w:val="24"/>
                <w:szCs w:val="24"/>
              </w:rPr>
            </w:pPr>
            <w:r>
              <w:rPr>
                <w:rFonts w:hint="eastAsia" w:ascii="宋体" w:hAnsi="宋体"/>
                <w:sz w:val="24"/>
                <w:szCs w:val="24"/>
              </w:rPr>
              <w:t>投标响应</w:t>
            </w:r>
          </w:p>
        </w:tc>
        <w:tc>
          <w:tcPr>
            <w:tcW w:w="1308" w:type="dxa"/>
            <w:noWrap w:val="0"/>
            <w:vAlign w:val="center"/>
          </w:tcPr>
          <w:p w14:paraId="7AE40FE1">
            <w:pPr>
              <w:jc w:val="center"/>
              <w:rPr>
                <w:rFonts w:ascii="宋体" w:hAnsi="宋体"/>
                <w:sz w:val="24"/>
                <w:szCs w:val="24"/>
              </w:rPr>
            </w:pPr>
            <w:r>
              <w:rPr>
                <w:rFonts w:hint="eastAsia" w:ascii="宋体" w:hAnsi="宋体"/>
                <w:sz w:val="24"/>
                <w:szCs w:val="24"/>
              </w:rPr>
              <w:t>超出、符合或偏离</w:t>
            </w:r>
          </w:p>
        </w:tc>
        <w:tc>
          <w:tcPr>
            <w:tcW w:w="1173" w:type="dxa"/>
            <w:noWrap w:val="0"/>
            <w:vAlign w:val="center"/>
          </w:tcPr>
          <w:p w14:paraId="0FD055C1">
            <w:pPr>
              <w:jc w:val="center"/>
              <w:rPr>
                <w:rFonts w:ascii="宋体" w:hAnsi="宋体"/>
                <w:sz w:val="24"/>
                <w:szCs w:val="24"/>
              </w:rPr>
            </w:pPr>
            <w:r>
              <w:rPr>
                <w:rFonts w:hint="eastAsia" w:ascii="宋体" w:hAnsi="宋体"/>
                <w:sz w:val="24"/>
                <w:szCs w:val="24"/>
              </w:rPr>
              <w:t>原因</w:t>
            </w:r>
          </w:p>
        </w:tc>
      </w:tr>
      <w:tr w14:paraId="2F404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noWrap w:val="0"/>
          </w:tcPr>
          <w:p w14:paraId="12049D35">
            <w:pPr>
              <w:jc w:val="center"/>
              <w:rPr>
                <w:rFonts w:ascii="宋体" w:hAnsi="宋体"/>
                <w:sz w:val="24"/>
                <w:szCs w:val="24"/>
              </w:rPr>
            </w:pPr>
          </w:p>
        </w:tc>
        <w:tc>
          <w:tcPr>
            <w:tcW w:w="2852" w:type="dxa"/>
            <w:noWrap w:val="0"/>
          </w:tcPr>
          <w:p w14:paraId="1A830E04">
            <w:pPr>
              <w:jc w:val="center"/>
              <w:rPr>
                <w:rFonts w:ascii="宋体" w:hAnsi="宋体"/>
                <w:sz w:val="24"/>
                <w:szCs w:val="24"/>
              </w:rPr>
            </w:pPr>
          </w:p>
        </w:tc>
        <w:tc>
          <w:tcPr>
            <w:tcW w:w="2852" w:type="dxa"/>
            <w:noWrap w:val="0"/>
          </w:tcPr>
          <w:p w14:paraId="5D579CBC">
            <w:pPr>
              <w:jc w:val="center"/>
              <w:rPr>
                <w:rFonts w:ascii="宋体" w:hAnsi="宋体"/>
                <w:sz w:val="24"/>
                <w:szCs w:val="24"/>
              </w:rPr>
            </w:pPr>
          </w:p>
        </w:tc>
        <w:tc>
          <w:tcPr>
            <w:tcW w:w="1308" w:type="dxa"/>
            <w:noWrap w:val="0"/>
          </w:tcPr>
          <w:p w14:paraId="670F6CA3">
            <w:pPr>
              <w:jc w:val="center"/>
              <w:rPr>
                <w:rFonts w:ascii="宋体" w:hAnsi="宋体"/>
                <w:sz w:val="24"/>
                <w:szCs w:val="24"/>
              </w:rPr>
            </w:pPr>
          </w:p>
        </w:tc>
        <w:tc>
          <w:tcPr>
            <w:tcW w:w="1173" w:type="dxa"/>
            <w:noWrap w:val="0"/>
          </w:tcPr>
          <w:p w14:paraId="35346F7E">
            <w:pPr>
              <w:jc w:val="center"/>
              <w:rPr>
                <w:rFonts w:ascii="宋体" w:hAnsi="宋体"/>
                <w:sz w:val="24"/>
                <w:szCs w:val="24"/>
              </w:rPr>
            </w:pPr>
          </w:p>
        </w:tc>
      </w:tr>
      <w:tr w14:paraId="29C08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noWrap w:val="0"/>
          </w:tcPr>
          <w:p w14:paraId="4FB1A9E8">
            <w:pPr>
              <w:jc w:val="center"/>
              <w:rPr>
                <w:rFonts w:ascii="宋体" w:hAnsi="宋体"/>
                <w:sz w:val="24"/>
                <w:szCs w:val="24"/>
              </w:rPr>
            </w:pPr>
          </w:p>
        </w:tc>
        <w:tc>
          <w:tcPr>
            <w:tcW w:w="2852" w:type="dxa"/>
            <w:noWrap w:val="0"/>
          </w:tcPr>
          <w:p w14:paraId="5DBD98EA">
            <w:pPr>
              <w:jc w:val="center"/>
              <w:rPr>
                <w:rFonts w:ascii="宋体" w:hAnsi="宋体"/>
                <w:sz w:val="24"/>
                <w:szCs w:val="24"/>
              </w:rPr>
            </w:pPr>
          </w:p>
        </w:tc>
        <w:tc>
          <w:tcPr>
            <w:tcW w:w="2852" w:type="dxa"/>
            <w:noWrap w:val="0"/>
          </w:tcPr>
          <w:p w14:paraId="1773DF8E">
            <w:pPr>
              <w:jc w:val="center"/>
              <w:rPr>
                <w:rFonts w:ascii="宋体" w:hAnsi="宋体"/>
                <w:sz w:val="24"/>
                <w:szCs w:val="24"/>
              </w:rPr>
            </w:pPr>
          </w:p>
        </w:tc>
        <w:tc>
          <w:tcPr>
            <w:tcW w:w="1308" w:type="dxa"/>
            <w:noWrap w:val="0"/>
          </w:tcPr>
          <w:p w14:paraId="0DF6C16D">
            <w:pPr>
              <w:jc w:val="center"/>
              <w:rPr>
                <w:rFonts w:ascii="宋体" w:hAnsi="宋体"/>
                <w:sz w:val="24"/>
                <w:szCs w:val="24"/>
              </w:rPr>
            </w:pPr>
          </w:p>
        </w:tc>
        <w:tc>
          <w:tcPr>
            <w:tcW w:w="1173" w:type="dxa"/>
            <w:noWrap w:val="0"/>
          </w:tcPr>
          <w:p w14:paraId="67CCEB29">
            <w:pPr>
              <w:jc w:val="center"/>
              <w:rPr>
                <w:rFonts w:ascii="宋体" w:hAnsi="宋体"/>
                <w:sz w:val="24"/>
                <w:szCs w:val="24"/>
              </w:rPr>
            </w:pPr>
          </w:p>
        </w:tc>
      </w:tr>
      <w:tr w14:paraId="4E8BA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noWrap w:val="0"/>
          </w:tcPr>
          <w:p w14:paraId="73BF9393">
            <w:pPr>
              <w:jc w:val="center"/>
              <w:rPr>
                <w:rFonts w:ascii="宋体" w:hAnsi="宋体"/>
                <w:sz w:val="24"/>
                <w:szCs w:val="24"/>
              </w:rPr>
            </w:pPr>
          </w:p>
        </w:tc>
        <w:tc>
          <w:tcPr>
            <w:tcW w:w="2852" w:type="dxa"/>
            <w:noWrap w:val="0"/>
          </w:tcPr>
          <w:p w14:paraId="28C12CFB">
            <w:pPr>
              <w:jc w:val="center"/>
              <w:rPr>
                <w:rFonts w:ascii="宋体" w:hAnsi="宋体"/>
                <w:sz w:val="24"/>
                <w:szCs w:val="24"/>
              </w:rPr>
            </w:pPr>
          </w:p>
        </w:tc>
        <w:tc>
          <w:tcPr>
            <w:tcW w:w="2852" w:type="dxa"/>
            <w:noWrap w:val="0"/>
          </w:tcPr>
          <w:p w14:paraId="1D24665F">
            <w:pPr>
              <w:jc w:val="center"/>
              <w:rPr>
                <w:rFonts w:ascii="宋体" w:hAnsi="宋体"/>
                <w:sz w:val="24"/>
                <w:szCs w:val="24"/>
              </w:rPr>
            </w:pPr>
          </w:p>
        </w:tc>
        <w:tc>
          <w:tcPr>
            <w:tcW w:w="1308" w:type="dxa"/>
            <w:noWrap w:val="0"/>
          </w:tcPr>
          <w:p w14:paraId="0ABAC4A9">
            <w:pPr>
              <w:jc w:val="center"/>
              <w:rPr>
                <w:rFonts w:ascii="宋体" w:hAnsi="宋体"/>
                <w:sz w:val="24"/>
                <w:szCs w:val="24"/>
              </w:rPr>
            </w:pPr>
          </w:p>
        </w:tc>
        <w:tc>
          <w:tcPr>
            <w:tcW w:w="1173" w:type="dxa"/>
            <w:noWrap w:val="0"/>
          </w:tcPr>
          <w:p w14:paraId="761C8C32">
            <w:pPr>
              <w:jc w:val="center"/>
              <w:rPr>
                <w:rFonts w:ascii="宋体" w:hAnsi="宋体"/>
                <w:sz w:val="24"/>
                <w:szCs w:val="24"/>
              </w:rPr>
            </w:pPr>
          </w:p>
        </w:tc>
      </w:tr>
      <w:tr w14:paraId="56435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noWrap w:val="0"/>
          </w:tcPr>
          <w:p w14:paraId="56518210">
            <w:pPr>
              <w:jc w:val="center"/>
              <w:rPr>
                <w:rFonts w:ascii="宋体" w:hAnsi="宋体"/>
                <w:sz w:val="24"/>
                <w:szCs w:val="24"/>
              </w:rPr>
            </w:pPr>
          </w:p>
        </w:tc>
        <w:tc>
          <w:tcPr>
            <w:tcW w:w="2852" w:type="dxa"/>
            <w:noWrap w:val="0"/>
          </w:tcPr>
          <w:p w14:paraId="13454D64">
            <w:pPr>
              <w:jc w:val="center"/>
              <w:rPr>
                <w:rFonts w:ascii="宋体" w:hAnsi="宋体"/>
                <w:sz w:val="24"/>
                <w:szCs w:val="24"/>
              </w:rPr>
            </w:pPr>
          </w:p>
        </w:tc>
        <w:tc>
          <w:tcPr>
            <w:tcW w:w="2852" w:type="dxa"/>
            <w:noWrap w:val="0"/>
          </w:tcPr>
          <w:p w14:paraId="2051F2F9">
            <w:pPr>
              <w:jc w:val="center"/>
              <w:rPr>
                <w:rFonts w:ascii="宋体" w:hAnsi="宋体"/>
                <w:sz w:val="24"/>
                <w:szCs w:val="24"/>
              </w:rPr>
            </w:pPr>
          </w:p>
        </w:tc>
        <w:tc>
          <w:tcPr>
            <w:tcW w:w="1308" w:type="dxa"/>
            <w:noWrap w:val="0"/>
          </w:tcPr>
          <w:p w14:paraId="53D5920B">
            <w:pPr>
              <w:jc w:val="center"/>
              <w:rPr>
                <w:rFonts w:ascii="宋体" w:hAnsi="宋体"/>
                <w:sz w:val="24"/>
                <w:szCs w:val="24"/>
              </w:rPr>
            </w:pPr>
          </w:p>
        </w:tc>
        <w:tc>
          <w:tcPr>
            <w:tcW w:w="1173" w:type="dxa"/>
            <w:noWrap w:val="0"/>
          </w:tcPr>
          <w:p w14:paraId="41A52721">
            <w:pPr>
              <w:jc w:val="center"/>
              <w:rPr>
                <w:rFonts w:ascii="宋体" w:hAnsi="宋体"/>
                <w:sz w:val="24"/>
                <w:szCs w:val="24"/>
              </w:rPr>
            </w:pPr>
          </w:p>
        </w:tc>
      </w:tr>
      <w:tr w14:paraId="44BA0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noWrap w:val="0"/>
          </w:tcPr>
          <w:p w14:paraId="5C04796A">
            <w:pPr>
              <w:jc w:val="center"/>
              <w:rPr>
                <w:rFonts w:ascii="宋体" w:hAnsi="宋体"/>
                <w:sz w:val="24"/>
                <w:szCs w:val="24"/>
              </w:rPr>
            </w:pPr>
          </w:p>
        </w:tc>
        <w:tc>
          <w:tcPr>
            <w:tcW w:w="2852" w:type="dxa"/>
            <w:noWrap w:val="0"/>
          </w:tcPr>
          <w:p w14:paraId="5020F284">
            <w:pPr>
              <w:jc w:val="center"/>
              <w:rPr>
                <w:rFonts w:ascii="宋体" w:hAnsi="宋体"/>
                <w:sz w:val="24"/>
                <w:szCs w:val="24"/>
              </w:rPr>
            </w:pPr>
          </w:p>
        </w:tc>
        <w:tc>
          <w:tcPr>
            <w:tcW w:w="2852" w:type="dxa"/>
            <w:noWrap w:val="0"/>
          </w:tcPr>
          <w:p w14:paraId="41934776">
            <w:pPr>
              <w:jc w:val="center"/>
              <w:rPr>
                <w:rFonts w:ascii="宋体" w:hAnsi="宋体"/>
                <w:sz w:val="24"/>
                <w:szCs w:val="24"/>
              </w:rPr>
            </w:pPr>
          </w:p>
        </w:tc>
        <w:tc>
          <w:tcPr>
            <w:tcW w:w="1308" w:type="dxa"/>
            <w:noWrap w:val="0"/>
          </w:tcPr>
          <w:p w14:paraId="09C17978">
            <w:pPr>
              <w:jc w:val="center"/>
              <w:rPr>
                <w:rFonts w:ascii="宋体" w:hAnsi="宋体"/>
                <w:sz w:val="24"/>
                <w:szCs w:val="24"/>
              </w:rPr>
            </w:pPr>
          </w:p>
        </w:tc>
        <w:tc>
          <w:tcPr>
            <w:tcW w:w="1173" w:type="dxa"/>
            <w:noWrap w:val="0"/>
          </w:tcPr>
          <w:p w14:paraId="3079BCDD">
            <w:pPr>
              <w:jc w:val="center"/>
              <w:rPr>
                <w:rFonts w:ascii="宋体" w:hAnsi="宋体"/>
                <w:sz w:val="24"/>
                <w:szCs w:val="24"/>
              </w:rPr>
            </w:pPr>
          </w:p>
        </w:tc>
      </w:tr>
      <w:tr w14:paraId="58B15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noWrap w:val="0"/>
          </w:tcPr>
          <w:p w14:paraId="4822BE8C">
            <w:pPr>
              <w:jc w:val="center"/>
              <w:rPr>
                <w:rFonts w:ascii="宋体" w:hAnsi="宋体"/>
                <w:sz w:val="24"/>
                <w:szCs w:val="24"/>
              </w:rPr>
            </w:pPr>
          </w:p>
        </w:tc>
        <w:tc>
          <w:tcPr>
            <w:tcW w:w="2852" w:type="dxa"/>
            <w:noWrap w:val="0"/>
          </w:tcPr>
          <w:p w14:paraId="506902E2">
            <w:pPr>
              <w:jc w:val="center"/>
              <w:rPr>
                <w:rFonts w:ascii="宋体" w:hAnsi="宋体"/>
                <w:sz w:val="24"/>
                <w:szCs w:val="24"/>
              </w:rPr>
            </w:pPr>
          </w:p>
        </w:tc>
        <w:tc>
          <w:tcPr>
            <w:tcW w:w="2852" w:type="dxa"/>
            <w:noWrap w:val="0"/>
          </w:tcPr>
          <w:p w14:paraId="087FEA3A">
            <w:pPr>
              <w:jc w:val="center"/>
              <w:rPr>
                <w:rFonts w:ascii="宋体" w:hAnsi="宋体"/>
                <w:sz w:val="24"/>
                <w:szCs w:val="24"/>
              </w:rPr>
            </w:pPr>
          </w:p>
        </w:tc>
        <w:tc>
          <w:tcPr>
            <w:tcW w:w="1308" w:type="dxa"/>
            <w:noWrap w:val="0"/>
          </w:tcPr>
          <w:p w14:paraId="780AD676">
            <w:pPr>
              <w:jc w:val="center"/>
              <w:rPr>
                <w:rFonts w:ascii="宋体" w:hAnsi="宋体"/>
                <w:sz w:val="24"/>
                <w:szCs w:val="24"/>
              </w:rPr>
            </w:pPr>
          </w:p>
        </w:tc>
        <w:tc>
          <w:tcPr>
            <w:tcW w:w="1173" w:type="dxa"/>
            <w:noWrap w:val="0"/>
          </w:tcPr>
          <w:p w14:paraId="76354261">
            <w:pPr>
              <w:jc w:val="center"/>
              <w:rPr>
                <w:rFonts w:ascii="宋体" w:hAnsi="宋体"/>
                <w:sz w:val="24"/>
                <w:szCs w:val="24"/>
              </w:rPr>
            </w:pPr>
          </w:p>
        </w:tc>
      </w:tr>
      <w:tr w14:paraId="7C532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noWrap w:val="0"/>
          </w:tcPr>
          <w:p w14:paraId="62DDE7DD">
            <w:pPr>
              <w:jc w:val="center"/>
              <w:rPr>
                <w:rFonts w:ascii="宋体" w:hAnsi="宋体"/>
                <w:sz w:val="24"/>
                <w:szCs w:val="24"/>
              </w:rPr>
            </w:pPr>
          </w:p>
        </w:tc>
        <w:tc>
          <w:tcPr>
            <w:tcW w:w="2852" w:type="dxa"/>
            <w:noWrap w:val="0"/>
          </w:tcPr>
          <w:p w14:paraId="40F2B93B">
            <w:pPr>
              <w:jc w:val="center"/>
              <w:rPr>
                <w:rFonts w:ascii="宋体" w:hAnsi="宋体"/>
                <w:sz w:val="24"/>
                <w:szCs w:val="24"/>
              </w:rPr>
            </w:pPr>
          </w:p>
        </w:tc>
        <w:tc>
          <w:tcPr>
            <w:tcW w:w="2852" w:type="dxa"/>
            <w:noWrap w:val="0"/>
          </w:tcPr>
          <w:p w14:paraId="065FD8DD">
            <w:pPr>
              <w:jc w:val="center"/>
              <w:rPr>
                <w:rFonts w:ascii="宋体" w:hAnsi="宋体"/>
                <w:sz w:val="24"/>
                <w:szCs w:val="24"/>
              </w:rPr>
            </w:pPr>
          </w:p>
        </w:tc>
        <w:tc>
          <w:tcPr>
            <w:tcW w:w="1308" w:type="dxa"/>
            <w:noWrap w:val="0"/>
          </w:tcPr>
          <w:p w14:paraId="28C5400D">
            <w:pPr>
              <w:jc w:val="center"/>
              <w:rPr>
                <w:rFonts w:ascii="宋体" w:hAnsi="宋体"/>
                <w:sz w:val="24"/>
                <w:szCs w:val="24"/>
              </w:rPr>
            </w:pPr>
          </w:p>
        </w:tc>
        <w:tc>
          <w:tcPr>
            <w:tcW w:w="1173" w:type="dxa"/>
            <w:noWrap w:val="0"/>
          </w:tcPr>
          <w:p w14:paraId="24D3A495">
            <w:pPr>
              <w:jc w:val="center"/>
              <w:rPr>
                <w:rFonts w:ascii="宋体" w:hAnsi="宋体"/>
                <w:sz w:val="24"/>
                <w:szCs w:val="24"/>
              </w:rPr>
            </w:pPr>
          </w:p>
        </w:tc>
      </w:tr>
      <w:tr w14:paraId="70225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noWrap w:val="0"/>
          </w:tcPr>
          <w:p w14:paraId="7CEA7B3E">
            <w:pPr>
              <w:jc w:val="center"/>
              <w:rPr>
                <w:rFonts w:ascii="宋体" w:hAnsi="宋体"/>
                <w:sz w:val="24"/>
                <w:szCs w:val="24"/>
              </w:rPr>
            </w:pPr>
          </w:p>
        </w:tc>
        <w:tc>
          <w:tcPr>
            <w:tcW w:w="2852" w:type="dxa"/>
            <w:noWrap w:val="0"/>
          </w:tcPr>
          <w:p w14:paraId="64B8B491">
            <w:pPr>
              <w:jc w:val="center"/>
              <w:rPr>
                <w:rFonts w:ascii="宋体" w:hAnsi="宋体"/>
                <w:sz w:val="24"/>
                <w:szCs w:val="24"/>
              </w:rPr>
            </w:pPr>
          </w:p>
        </w:tc>
        <w:tc>
          <w:tcPr>
            <w:tcW w:w="2852" w:type="dxa"/>
            <w:noWrap w:val="0"/>
          </w:tcPr>
          <w:p w14:paraId="402AE45F">
            <w:pPr>
              <w:jc w:val="center"/>
              <w:rPr>
                <w:rFonts w:ascii="宋体" w:hAnsi="宋体"/>
                <w:sz w:val="24"/>
                <w:szCs w:val="24"/>
              </w:rPr>
            </w:pPr>
          </w:p>
        </w:tc>
        <w:tc>
          <w:tcPr>
            <w:tcW w:w="1308" w:type="dxa"/>
            <w:noWrap w:val="0"/>
          </w:tcPr>
          <w:p w14:paraId="0139CF9C">
            <w:pPr>
              <w:jc w:val="center"/>
              <w:rPr>
                <w:rFonts w:ascii="宋体" w:hAnsi="宋体"/>
                <w:sz w:val="24"/>
                <w:szCs w:val="24"/>
              </w:rPr>
            </w:pPr>
          </w:p>
        </w:tc>
        <w:tc>
          <w:tcPr>
            <w:tcW w:w="1173" w:type="dxa"/>
            <w:noWrap w:val="0"/>
          </w:tcPr>
          <w:p w14:paraId="0A14537C">
            <w:pPr>
              <w:jc w:val="center"/>
              <w:rPr>
                <w:rFonts w:ascii="宋体" w:hAnsi="宋体"/>
                <w:sz w:val="24"/>
                <w:szCs w:val="24"/>
              </w:rPr>
            </w:pPr>
          </w:p>
        </w:tc>
      </w:tr>
    </w:tbl>
    <w:p w14:paraId="6B919AD6">
      <w:pPr>
        <w:rPr>
          <w:rFonts w:ascii="宋体" w:hAnsi="宋体"/>
          <w:sz w:val="24"/>
          <w:szCs w:val="24"/>
        </w:rPr>
      </w:pPr>
    </w:p>
    <w:p w14:paraId="54A2BE7E">
      <w:pPr>
        <w:rPr>
          <w:rFonts w:ascii="宋体" w:hAnsi="宋体"/>
          <w:sz w:val="24"/>
          <w:szCs w:val="24"/>
          <w:highlight w:val="none"/>
        </w:rPr>
      </w:pPr>
      <w:r>
        <w:rPr>
          <w:rFonts w:hint="eastAsia" w:ascii="宋体" w:hAnsi="宋体"/>
          <w:sz w:val="24"/>
          <w:szCs w:val="24"/>
          <w:highlight w:val="none"/>
        </w:rPr>
        <w:t>注：1、按照基本技术要求详细填列。</w:t>
      </w:r>
    </w:p>
    <w:p w14:paraId="1E88E205">
      <w:pPr>
        <w:numPr>
          <w:ilvl w:val="0"/>
          <w:numId w:val="0"/>
        </w:numPr>
        <w:ind w:left="480" w:leftChars="0"/>
        <w:rPr>
          <w:rFonts w:ascii="宋体" w:hAnsi="宋体"/>
          <w:sz w:val="24"/>
          <w:szCs w:val="24"/>
          <w:highlight w:val="cyan"/>
        </w:rPr>
      </w:pPr>
      <w:r>
        <w:rPr>
          <w:rFonts w:hint="eastAsia" w:ascii="宋体" w:hAnsi="宋体"/>
          <w:sz w:val="24"/>
          <w:szCs w:val="24"/>
          <w:highlight w:val="none"/>
          <w:lang w:val="en-US" w:eastAsia="zh-CN"/>
        </w:rPr>
        <w:t>2、</w:t>
      </w:r>
      <w:r>
        <w:rPr>
          <w:rFonts w:hint="eastAsia" w:ascii="宋体" w:hAnsi="宋体"/>
          <w:sz w:val="24"/>
          <w:szCs w:val="24"/>
          <w:highlight w:val="none"/>
        </w:rPr>
        <w:t>行数不够，可自行添加。</w:t>
      </w:r>
    </w:p>
    <w:p w14:paraId="1305C8DC">
      <w:pPr>
        <w:widowControl/>
        <w:spacing w:line="500" w:lineRule="exact"/>
        <w:ind w:firstLine="120"/>
        <w:jc w:val="left"/>
        <w:rPr>
          <w:sz w:val="24"/>
        </w:rPr>
      </w:pPr>
    </w:p>
    <w:p w14:paraId="14FFFF95">
      <w:pPr>
        <w:pStyle w:val="20"/>
        <w:ind w:firstLine="0"/>
      </w:pPr>
    </w:p>
    <w:p w14:paraId="5034ADB6">
      <w:pPr>
        <w:widowControl/>
        <w:spacing w:line="460" w:lineRule="exact"/>
        <w:ind w:firstLine="480"/>
        <w:jc w:val="left"/>
        <w:rPr>
          <w:sz w:val="24"/>
        </w:rPr>
      </w:pPr>
      <w:r>
        <w:rPr>
          <w:rFonts w:hint="eastAsia"/>
          <w:sz w:val="24"/>
        </w:rPr>
        <w:t>法定代表人或委托代理人</w:t>
      </w:r>
      <w:r>
        <w:rPr>
          <w:rFonts w:hint="eastAsia"/>
        </w:rPr>
        <w:t xml:space="preserve">： </w:t>
      </w:r>
      <w:r>
        <w:rPr>
          <w:rFonts w:hint="eastAsia"/>
          <w:u w:val="single"/>
        </w:rPr>
        <w:t xml:space="preserve">                  </w:t>
      </w:r>
      <w:r>
        <w:rPr>
          <w:rFonts w:hint="eastAsia"/>
          <w:sz w:val="24"/>
        </w:rPr>
        <w:t>（盖章或签字）</w:t>
      </w:r>
    </w:p>
    <w:p w14:paraId="33779C14">
      <w:pPr>
        <w:spacing w:before="100" w:beforeAutospacing="1" w:after="100" w:afterAutospacing="1" w:line="460" w:lineRule="exact"/>
        <w:ind w:firstLine="480"/>
        <w:rPr>
          <w:sz w:val="24"/>
        </w:rPr>
      </w:pPr>
      <w:r>
        <w:rPr>
          <w:rFonts w:hint="eastAsia"/>
          <w:sz w:val="24"/>
        </w:rPr>
        <w:t>投标单位：</w:t>
      </w:r>
      <w:r>
        <w:rPr>
          <w:rFonts w:hint="eastAsia"/>
          <w:u w:val="single"/>
        </w:rPr>
        <w:t xml:space="preserve">                </w:t>
      </w:r>
      <w:r>
        <w:rPr>
          <w:rFonts w:hint="eastAsia"/>
          <w:sz w:val="24"/>
        </w:rPr>
        <w:t xml:space="preserve"> （全称并加盖公章）</w:t>
      </w:r>
    </w:p>
    <w:p w14:paraId="3281058E">
      <w:pPr>
        <w:wordWrap w:val="0"/>
        <w:spacing w:before="100" w:beforeAutospacing="1" w:after="100" w:afterAutospacing="1" w:line="460" w:lineRule="exact"/>
        <w:ind w:firstLine="480"/>
        <w:jc w:val="right"/>
        <w:rPr>
          <w:rFonts w:hint="default" w:eastAsia="宋体"/>
          <w:sz w:val="24"/>
          <w:lang w:val="en-US" w:eastAsia="zh-CN"/>
        </w:rPr>
        <w:sectPr>
          <w:pgSz w:w="11906" w:h="16838"/>
          <w:pgMar w:top="1440" w:right="1587" w:bottom="1440" w:left="1587" w:header="851" w:footer="907" w:gutter="0"/>
          <w:cols w:space="720" w:num="1"/>
          <w:docGrid w:linePitch="360" w:charSpace="0"/>
        </w:sectPr>
      </w:pPr>
      <w:r>
        <w:rPr>
          <w:rFonts w:hint="eastAsia"/>
          <w:sz w:val="24"/>
        </w:rPr>
        <w:t>年    月</w:t>
      </w:r>
      <w:r>
        <w:rPr>
          <w:rFonts w:hint="eastAsia"/>
          <w:sz w:val="24"/>
          <w:lang w:val="en-US" w:eastAsia="zh-CN"/>
        </w:rPr>
        <w:t xml:space="preserve">    日</w:t>
      </w:r>
    </w:p>
    <w:p w14:paraId="7DBC424F">
      <w:pPr>
        <w:pStyle w:val="13"/>
        <w:spacing w:beforeAutospacing="0" w:afterAutospacing="0"/>
        <w:jc w:val="center"/>
        <w:rPr>
          <w:rFonts w:hint="eastAsia" w:ascii="黑体" w:eastAsia="黑体" w:cs="黑体"/>
          <w:b/>
          <w:color w:val="000000"/>
          <w:sz w:val="32"/>
          <w:szCs w:val="32"/>
          <w:lang w:val="en-US" w:eastAsia="zh-CN"/>
        </w:rPr>
      </w:pPr>
      <w:r>
        <w:rPr>
          <w:rFonts w:hint="eastAsia" w:ascii="黑体" w:eastAsia="黑体" w:cs="黑体"/>
          <w:b/>
          <w:color w:val="000000"/>
          <w:sz w:val="32"/>
          <w:szCs w:val="32"/>
          <w:lang w:val="en-US" w:eastAsia="zh-CN"/>
        </w:rPr>
        <w:t>（十三）开标一览表</w:t>
      </w:r>
    </w:p>
    <w:p w14:paraId="1E11C6AC">
      <w:pPr>
        <w:spacing w:line="480" w:lineRule="exact"/>
        <w:jc w:val="left"/>
        <w:rPr>
          <w:rFonts w:ascii="宋体" w:hAnsi="宋体" w:cs="Segoe UI"/>
          <w:sz w:val="27"/>
          <w:szCs w:val="27"/>
        </w:rPr>
      </w:pPr>
    </w:p>
    <w:p w14:paraId="4B05FFF8">
      <w:pPr>
        <w:spacing w:line="480" w:lineRule="exact"/>
        <w:ind w:firstLine="420"/>
        <w:jc w:val="left"/>
        <w:rPr>
          <w:rFonts w:ascii="宋体" w:hAnsi="宋体" w:cs="Segoe UI"/>
          <w:sz w:val="27"/>
          <w:szCs w:val="27"/>
        </w:rPr>
      </w:pPr>
      <w:r>
        <w:rPr>
          <w:rFonts w:hint="eastAsia" w:ascii="宋体" w:hAnsi="宋体" w:cs="Segoe UI"/>
          <w:sz w:val="27"/>
          <w:szCs w:val="27"/>
        </w:rPr>
        <w:t>项目编号：</w:t>
      </w:r>
    </w:p>
    <w:p w14:paraId="0F390800">
      <w:pPr>
        <w:widowControl/>
        <w:spacing w:before="100" w:beforeAutospacing="1" w:after="100" w:afterAutospacing="1"/>
        <w:ind w:firstLine="420"/>
        <w:jc w:val="left"/>
        <w:rPr>
          <w:rFonts w:hint="eastAsia" w:ascii="宋体" w:hAnsi="宋体" w:eastAsia="宋体" w:cs="Segoe UI"/>
          <w:sz w:val="27"/>
          <w:szCs w:val="27"/>
          <w:lang w:eastAsia="zh-CN"/>
        </w:rPr>
      </w:pPr>
      <w:r>
        <w:rPr>
          <w:rFonts w:ascii="宋体" w:hAnsi="宋体" w:cs="Segoe UI"/>
          <w:sz w:val="27"/>
          <w:szCs w:val="27"/>
        </w:rPr>
        <w:t>货币单位：</w:t>
      </w:r>
      <w:r>
        <w:rPr>
          <w:rFonts w:hint="eastAsia" w:ascii="宋体" w:hAnsi="宋体" w:cs="Segoe UI"/>
          <w:sz w:val="27"/>
          <w:szCs w:val="27"/>
          <w:lang w:val="en-US" w:eastAsia="zh-CN"/>
        </w:rPr>
        <w:t>人民币元</w:t>
      </w:r>
    </w:p>
    <w:tbl>
      <w:tblPr>
        <w:tblStyle w:val="16"/>
        <w:tblW w:w="92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737"/>
        <w:gridCol w:w="2706"/>
        <w:gridCol w:w="2842"/>
      </w:tblGrid>
      <w:tr w14:paraId="4A49E8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0" w:hRule="atLeast"/>
          <w:jc w:val="center"/>
        </w:trPr>
        <w:tc>
          <w:tcPr>
            <w:tcW w:w="3737" w:type="dxa"/>
            <w:noWrap w:val="0"/>
            <w:vAlign w:val="center"/>
          </w:tcPr>
          <w:p w14:paraId="3C1A5369">
            <w:pPr>
              <w:widowControl/>
              <w:spacing w:before="100" w:beforeAutospacing="1" w:after="100" w:afterAutospacing="1"/>
              <w:jc w:val="both"/>
              <w:rPr>
                <w:rFonts w:ascii="宋体" w:hAnsi="宋体" w:cs="Segoe UI"/>
                <w:sz w:val="24"/>
              </w:rPr>
            </w:pPr>
            <w:r>
              <w:rPr>
                <w:rFonts w:hint="eastAsia" w:ascii="宋体" w:hAnsi="宋体" w:cs="Segoe UI"/>
                <w:sz w:val="24"/>
                <w:lang w:val="en-US" w:eastAsia="zh-CN"/>
              </w:rPr>
              <w:t>项目</w:t>
            </w:r>
            <w:r>
              <w:rPr>
                <w:rFonts w:ascii="宋体" w:hAnsi="宋体" w:cs="Segoe UI"/>
                <w:sz w:val="24"/>
              </w:rPr>
              <w:t>名称</w:t>
            </w:r>
          </w:p>
        </w:tc>
        <w:tc>
          <w:tcPr>
            <w:tcW w:w="2706" w:type="dxa"/>
            <w:noWrap w:val="0"/>
            <w:vAlign w:val="center"/>
          </w:tcPr>
          <w:p w14:paraId="30E0F128">
            <w:pPr>
              <w:widowControl/>
              <w:spacing w:before="100" w:beforeAutospacing="1" w:after="100" w:afterAutospacing="1"/>
              <w:jc w:val="both"/>
              <w:rPr>
                <w:rFonts w:ascii="宋体" w:hAnsi="宋体" w:cs="Segoe UI"/>
                <w:sz w:val="24"/>
              </w:rPr>
            </w:pPr>
            <w:r>
              <w:rPr>
                <w:rFonts w:ascii="宋体" w:hAnsi="宋体" w:cs="Segoe UI"/>
                <w:sz w:val="24"/>
              </w:rPr>
              <w:t>项目内容</w:t>
            </w:r>
          </w:p>
        </w:tc>
        <w:tc>
          <w:tcPr>
            <w:tcW w:w="2842" w:type="dxa"/>
            <w:noWrap w:val="0"/>
            <w:vAlign w:val="center"/>
          </w:tcPr>
          <w:p w14:paraId="4D79BFE4">
            <w:pPr>
              <w:widowControl/>
              <w:spacing w:before="100" w:beforeAutospacing="1" w:after="100" w:afterAutospacing="1"/>
              <w:jc w:val="both"/>
              <w:rPr>
                <w:rFonts w:ascii="宋体" w:hAnsi="宋体" w:cs="Segoe UI"/>
                <w:sz w:val="24"/>
              </w:rPr>
            </w:pPr>
            <w:r>
              <w:rPr>
                <w:rFonts w:hint="eastAsia" w:ascii="宋体" w:hAnsi="宋体" w:cs="Segoe UI"/>
                <w:sz w:val="24"/>
                <w:lang w:val="en-US" w:eastAsia="zh-CN"/>
              </w:rPr>
              <w:t>总价</w:t>
            </w:r>
            <w:r>
              <w:rPr>
                <w:rFonts w:ascii="宋体" w:hAnsi="宋体" w:cs="Segoe UI"/>
                <w:sz w:val="24"/>
              </w:rPr>
              <w:t>（</w:t>
            </w:r>
            <w:r>
              <w:rPr>
                <w:rFonts w:hint="eastAsia" w:ascii="宋体" w:hAnsi="宋体" w:cs="Segoe UI"/>
                <w:sz w:val="24"/>
                <w:lang w:val="en-US" w:eastAsia="zh-CN"/>
              </w:rPr>
              <w:t>小写</w:t>
            </w:r>
            <w:r>
              <w:rPr>
                <w:rFonts w:ascii="宋体" w:hAnsi="宋体" w:cs="Segoe UI"/>
                <w:sz w:val="24"/>
              </w:rPr>
              <w:t>）</w:t>
            </w:r>
          </w:p>
        </w:tc>
      </w:tr>
      <w:tr w14:paraId="3F84EF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97" w:hRule="atLeast"/>
          <w:jc w:val="center"/>
        </w:trPr>
        <w:tc>
          <w:tcPr>
            <w:tcW w:w="3737" w:type="dxa"/>
            <w:noWrap w:val="0"/>
            <w:vAlign w:val="center"/>
          </w:tcPr>
          <w:p w14:paraId="04CAE8F2">
            <w:pPr>
              <w:widowControl/>
              <w:spacing w:before="100" w:beforeAutospacing="1" w:after="100" w:afterAutospacing="1"/>
              <w:jc w:val="both"/>
              <w:rPr>
                <w:rFonts w:hint="default" w:ascii="宋体" w:hAnsi="宋体" w:eastAsia="宋体" w:cs="Segoe UI"/>
                <w:sz w:val="24"/>
                <w:lang w:val="en-US" w:eastAsia="zh-CN"/>
              </w:rPr>
            </w:pPr>
            <w:r>
              <w:rPr>
                <w:rFonts w:hint="eastAsia" w:ascii="宋体" w:hAnsi="宋体" w:cs="Segoe UI"/>
                <w:sz w:val="24"/>
                <w:lang w:val="en-US" w:eastAsia="zh-CN"/>
              </w:rPr>
              <w:t>项目名称</w:t>
            </w:r>
            <w:bookmarkStart w:id="167" w:name="_GoBack"/>
            <w:bookmarkEnd w:id="167"/>
          </w:p>
        </w:tc>
        <w:tc>
          <w:tcPr>
            <w:tcW w:w="2706" w:type="dxa"/>
            <w:noWrap w:val="0"/>
            <w:vAlign w:val="center"/>
          </w:tcPr>
          <w:p w14:paraId="4D78F18F">
            <w:pPr>
              <w:widowControl/>
              <w:spacing w:before="100" w:beforeAutospacing="1" w:after="100" w:afterAutospacing="1"/>
              <w:jc w:val="both"/>
              <w:rPr>
                <w:rFonts w:ascii="宋体" w:hAnsi="宋体" w:cs="Segoe UI"/>
                <w:sz w:val="24"/>
              </w:rPr>
            </w:pPr>
            <w:r>
              <w:rPr>
                <w:rFonts w:ascii="宋体" w:hAnsi="宋体" w:cs="Segoe UI"/>
                <w:sz w:val="24"/>
              </w:rPr>
              <w:t>详见投标文件</w:t>
            </w:r>
          </w:p>
        </w:tc>
        <w:tc>
          <w:tcPr>
            <w:tcW w:w="2842" w:type="dxa"/>
            <w:noWrap w:val="0"/>
            <w:vAlign w:val="center"/>
          </w:tcPr>
          <w:p w14:paraId="74BEA6D0">
            <w:pPr>
              <w:widowControl/>
              <w:spacing w:before="100" w:beforeAutospacing="1" w:after="100" w:afterAutospacing="1"/>
              <w:ind w:right="240"/>
              <w:jc w:val="right"/>
              <w:rPr>
                <w:rFonts w:hint="eastAsia" w:ascii="宋体" w:hAnsi="宋体" w:eastAsia="宋体" w:cs="Segoe UI"/>
                <w:sz w:val="24"/>
                <w:lang w:val="en-US" w:eastAsia="zh-CN"/>
              </w:rPr>
            </w:pPr>
            <w:r>
              <w:rPr>
                <w:rFonts w:hint="eastAsia" w:ascii="宋体" w:hAnsi="宋体" w:cs="Segoe UI"/>
                <w:sz w:val="24"/>
                <w:lang w:val="en-US" w:eastAsia="zh-CN"/>
              </w:rPr>
              <w:t>元</w:t>
            </w:r>
          </w:p>
        </w:tc>
      </w:tr>
      <w:tr w14:paraId="6FE0BF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2" w:hRule="atLeast"/>
          <w:jc w:val="center"/>
        </w:trPr>
        <w:tc>
          <w:tcPr>
            <w:tcW w:w="3737" w:type="dxa"/>
            <w:noWrap w:val="0"/>
            <w:vAlign w:val="center"/>
          </w:tcPr>
          <w:p w14:paraId="77572E61">
            <w:pPr>
              <w:widowControl/>
              <w:spacing w:before="100" w:beforeAutospacing="1" w:after="100" w:afterAutospacing="1"/>
              <w:jc w:val="left"/>
              <w:rPr>
                <w:rFonts w:hint="eastAsia" w:ascii="宋体" w:hAnsi="宋体" w:eastAsia="宋体" w:cs="Segoe UI"/>
                <w:sz w:val="24"/>
                <w:lang w:val="en-US" w:eastAsia="zh-CN"/>
              </w:rPr>
            </w:pPr>
            <w:r>
              <w:rPr>
                <w:rFonts w:hint="eastAsia" w:ascii="宋体" w:hAnsi="宋体" w:cs="Segoe UI"/>
                <w:sz w:val="24"/>
                <w:lang w:val="en-US" w:eastAsia="zh-CN"/>
              </w:rPr>
              <w:t>总价（大写）：</w:t>
            </w:r>
          </w:p>
        </w:tc>
        <w:tc>
          <w:tcPr>
            <w:tcW w:w="5548" w:type="dxa"/>
            <w:gridSpan w:val="2"/>
            <w:noWrap w:val="0"/>
            <w:vAlign w:val="center"/>
          </w:tcPr>
          <w:p w14:paraId="3916BFA8">
            <w:pPr>
              <w:widowControl/>
              <w:spacing w:before="100" w:beforeAutospacing="1" w:after="100" w:afterAutospacing="1"/>
              <w:jc w:val="left"/>
              <w:rPr>
                <w:rFonts w:hint="default" w:ascii="宋体" w:hAnsi="宋体" w:eastAsia="宋体" w:cs="Segoe UI"/>
                <w:sz w:val="24"/>
                <w:lang w:val="en-US" w:eastAsia="zh-CN"/>
              </w:rPr>
            </w:pPr>
            <w:r>
              <w:rPr>
                <w:rFonts w:hint="eastAsia" w:ascii="宋体" w:hAnsi="宋体" w:cs="Segoe UI"/>
                <w:sz w:val="24"/>
                <w:lang w:val="en-US" w:eastAsia="zh-CN"/>
              </w:rPr>
              <w:t>金额大写</w:t>
            </w:r>
          </w:p>
        </w:tc>
      </w:tr>
    </w:tbl>
    <w:p w14:paraId="1C72AF77">
      <w:pPr>
        <w:widowControl/>
        <w:spacing w:before="100" w:beforeAutospacing="1" w:after="100" w:afterAutospacing="1"/>
        <w:jc w:val="left"/>
        <w:rPr>
          <w:rFonts w:ascii="宋体" w:hAnsi="宋体" w:cs="Segoe UI"/>
          <w:sz w:val="27"/>
          <w:szCs w:val="27"/>
        </w:rPr>
      </w:pPr>
    </w:p>
    <w:p w14:paraId="33C1A729">
      <w:pPr>
        <w:widowControl/>
        <w:spacing w:before="100" w:beforeAutospacing="1" w:after="100" w:afterAutospacing="1"/>
        <w:ind w:left="840" w:firstLine="420"/>
        <w:jc w:val="left"/>
        <w:rPr>
          <w:rFonts w:ascii="宋体" w:hAnsi="宋体" w:cs="Segoe UI"/>
          <w:sz w:val="27"/>
          <w:szCs w:val="27"/>
        </w:rPr>
      </w:pPr>
      <w:r>
        <w:rPr>
          <w:rFonts w:ascii="宋体" w:hAnsi="宋体" w:cs="Segoe UI"/>
          <w:sz w:val="27"/>
          <w:szCs w:val="27"/>
        </w:rPr>
        <w:t>投标人公章：</w:t>
      </w:r>
    </w:p>
    <w:p w14:paraId="6749A9AF">
      <w:pPr>
        <w:widowControl/>
        <w:spacing w:before="100" w:beforeAutospacing="1" w:after="100" w:afterAutospacing="1"/>
        <w:ind w:left="840" w:firstLine="420"/>
        <w:jc w:val="left"/>
        <w:rPr>
          <w:rFonts w:ascii="宋体" w:hAnsi="宋体" w:cs="Segoe UI"/>
          <w:sz w:val="27"/>
          <w:szCs w:val="27"/>
        </w:rPr>
      </w:pPr>
      <w:r>
        <w:rPr>
          <w:rFonts w:ascii="宋体" w:hAnsi="宋体" w:cs="Segoe UI"/>
          <w:sz w:val="27"/>
          <w:szCs w:val="27"/>
        </w:rPr>
        <w:t>（电子签章）</w:t>
      </w:r>
    </w:p>
    <w:p w14:paraId="22356BFB">
      <w:pPr>
        <w:spacing w:before="50" w:after="50"/>
        <w:jc w:val="center"/>
        <w:rPr>
          <w:rFonts w:hint="eastAsia" w:ascii="黑体" w:hAnsi="黑体" w:eastAsia="黑体" w:cs="黑体"/>
          <w:b/>
          <w:sz w:val="36"/>
          <w:szCs w:val="36"/>
          <w:lang w:val="en-US" w:eastAsia="zh-CN"/>
        </w:rPr>
        <w:sectPr>
          <w:pgSz w:w="11906" w:h="16838"/>
          <w:pgMar w:top="1440" w:right="1587" w:bottom="1440" w:left="1587" w:header="851" w:footer="907" w:gutter="0"/>
          <w:cols w:space="720" w:num="1"/>
          <w:docGrid w:linePitch="360" w:charSpace="0"/>
        </w:sectPr>
      </w:pPr>
    </w:p>
    <w:p w14:paraId="326DB008">
      <w:pPr>
        <w:spacing w:before="50" w:after="50"/>
        <w:jc w:val="center"/>
        <w:rPr>
          <w:rFonts w:hint="eastAsia" w:ascii="黑体" w:hAnsi="黑体" w:eastAsia="黑体" w:cs="黑体"/>
          <w:b/>
          <w:sz w:val="36"/>
          <w:szCs w:val="36"/>
          <w:lang w:val="en-US" w:eastAsia="zh-CN"/>
        </w:rPr>
      </w:pPr>
      <w:r>
        <w:rPr>
          <w:rFonts w:hint="eastAsia" w:ascii="黑体" w:hAnsi="黑体" w:eastAsia="黑体" w:cs="黑体"/>
          <w:b/>
          <w:sz w:val="36"/>
          <w:szCs w:val="36"/>
          <w:lang w:val="en-US" w:eastAsia="zh-CN"/>
        </w:rPr>
        <w:t>（十四）</w:t>
      </w:r>
      <w:r>
        <w:rPr>
          <w:rFonts w:hint="eastAsia" w:ascii="黑体" w:hAnsi="黑体" w:eastAsia="黑体" w:cs="黑体"/>
          <w:b/>
          <w:sz w:val="36"/>
          <w:szCs w:val="36"/>
        </w:rPr>
        <w:t>技术方案、服务承诺</w:t>
      </w:r>
      <w:r>
        <w:rPr>
          <w:rFonts w:hint="eastAsia" w:ascii="黑体" w:hAnsi="黑体" w:eastAsia="黑体" w:cs="黑体"/>
          <w:b/>
          <w:sz w:val="36"/>
          <w:szCs w:val="36"/>
          <w:lang w:val="en-US" w:eastAsia="zh-CN"/>
        </w:rPr>
        <w:t>、项目管理配备及企业能力等内容等</w:t>
      </w:r>
    </w:p>
    <w:p w14:paraId="5A362DE5">
      <w:pPr>
        <w:pStyle w:val="13"/>
        <w:spacing w:beforeAutospacing="0" w:afterAutospacing="0"/>
        <w:jc w:val="center"/>
        <w:rPr>
          <w:rFonts w:hint="eastAsia" w:ascii="黑体" w:eastAsia="黑体" w:cs="黑体"/>
          <w:b/>
          <w:color w:val="000000"/>
          <w:sz w:val="24"/>
          <w:szCs w:val="24"/>
          <w:lang w:val="en-US" w:eastAsia="zh-CN"/>
        </w:rPr>
      </w:pPr>
      <w:r>
        <w:rPr>
          <w:rFonts w:hint="eastAsia"/>
          <w:b/>
          <w:bCs/>
          <w:color w:val="auto"/>
          <w:sz w:val="24"/>
          <w:szCs w:val="24"/>
          <w:highlight w:val="none"/>
        </w:rPr>
        <w:t>拟投入的全自动打捞保洁船、</w:t>
      </w:r>
      <w:r>
        <w:rPr>
          <w:rFonts w:hint="eastAsia" w:ascii="Times New Roman" w:hAnsi="Times New Roman" w:eastAsia="宋体" w:cs="Times New Roman"/>
          <w:b/>
          <w:bCs/>
          <w:color w:val="auto"/>
          <w:sz w:val="24"/>
          <w:szCs w:val="24"/>
          <w:highlight w:val="none"/>
        </w:rPr>
        <w:t>挖掘机、输送设备</w:t>
      </w:r>
      <w:r>
        <w:rPr>
          <w:rFonts w:hint="eastAsia" w:ascii="Times New Roman" w:hAnsi="Times New Roman" w:cs="Times New Roman"/>
          <w:b/>
          <w:bCs/>
          <w:color w:val="auto"/>
          <w:sz w:val="24"/>
          <w:szCs w:val="24"/>
          <w:highlight w:val="none"/>
          <w:lang w:val="en-US" w:eastAsia="zh-CN"/>
        </w:rPr>
        <w:t>等</w:t>
      </w:r>
      <w:r>
        <w:rPr>
          <w:rFonts w:hint="eastAsia" w:ascii="Times New Roman" w:hAnsi="Times New Roman" w:eastAsia="宋体" w:cs="Times New Roman"/>
          <w:b/>
          <w:bCs/>
          <w:color w:val="auto"/>
          <w:sz w:val="24"/>
          <w:szCs w:val="24"/>
          <w:highlight w:val="none"/>
        </w:rPr>
        <w:t>操作人员</w:t>
      </w:r>
      <w:r>
        <w:rPr>
          <w:rFonts w:hint="eastAsia"/>
          <w:b/>
          <w:bCs/>
          <w:color w:val="auto"/>
          <w:sz w:val="24"/>
          <w:szCs w:val="24"/>
          <w:highlight w:val="none"/>
        </w:rPr>
        <w:t>一览表</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47"/>
        <w:gridCol w:w="1260"/>
        <w:gridCol w:w="1205"/>
        <w:gridCol w:w="906"/>
        <w:gridCol w:w="713"/>
        <w:gridCol w:w="966"/>
        <w:gridCol w:w="2409"/>
        <w:gridCol w:w="1890"/>
      </w:tblGrid>
      <w:tr w14:paraId="2792C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000000" w:sz="2" w:space="0"/>
              <w:left w:val="single" w:color="000000" w:sz="2" w:space="0"/>
              <w:bottom w:val="single" w:color="000000" w:sz="2" w:space="0"/>
              <w:right w:val="single" w:color="000000" w:sz="2" w:space="0"/>
            </w:tcBorders>
            <w:noWrap w:val="0"/>
            <w:vAlign w:val="center"/>
          </w:tcPr>
          <w:p w14:paraId="2ECE2A8F">
            <w:pPr>
              <w:jc w:val="center"/>
              <w:rPr>
                <w:rFonts w:hint="eastAsia" w:ascii="宋体" w:hAnsi="宋体"/>
                <w:b/>
                <w:color w:val="auto"/>
                <w:sz w:val="21"/>
                <w:szCs w:val="21"/>
                <w:highlight w:val="none"/>
              </w:rPr>
            </w:pPr>
            <w:r>
              <w:rPr>
                <w:rFonts w:hint="eastAsia" w:ascii="宋体" w:hAnsi="宋体"/>
                <w:b/>
                <w:color w:val="auto"/>
                <w:sz w:val="21"/>
                <w:szCs w:val="21"/>
                <w:highlight w:val="none"/>
              </w:rPr>
              <w:t>序号</w:t>
            </w:r>
          </w:p>
        </w:tc>
        <w:tc>
          <w:tcPr>
            <w:tcW w:w="1260" w:type="dxa"/>
            <w:tcBorders>
              <w:top w:val="single" w:color="000000" w:sz="2" w:space="0"/>
              <w:left w:val="single" w:color="auto" w:sz="4" w:space="0"/>
              <w:bottom w:val="single" w:color="000000" w:sz="2" w:space="0"/>
              <w:right w:val="single" w:color="auto" w:sz="4" w:space="0"/>
            </w:tcBorders>
            <w:noWrap w:val="0"/>
            <w:vAlign w:val="center"/>
          </w:tcPr>
          <w:p w14:paraId="3FBD7611">
            <w:pPr>
              <w:jc w:val="center"/>
              <w:rPr>
                <w:rFonts w:hint="eastAsia" w:ascii="宋体" w:hAnsi="宋体"/>
                <w:b/>
                <w:color w:val="auto"/>
                <w:sz w:val="21"/>
                <w:szCs w:val="21"/>
                <w:highlight w:val="none"/>
              </w:rPr>
            </w:pPr>
            <w:r>
              <w:rPr>
                <w:rFonts w:hint="eastAsia" w:ascii="宋体" w:hAnsi="宋体"/>
                <w:b/>
                <w:color w:val="auto"/>
                <w:sz w:val="21"/>
                <w:szCs w:val="21"/>
                <w:highlight w:val="none"/>
              </w:rPr>
              <w:t>岗位</w:t>
            </w:r>
          </w:p>
        </w:tc>
        <w:tc>
          <w:tcPr>
            <w:tcW w:w="1205" w:type="dxa"/>
            <w:tcBorders>
              <w:top w:val="single" w:color="000000" w:sz="2" w:space="0"/>
              <w:left w:val="single" w:color="auto" w:sz="4" w:space="0"/>
              <w:bottom w:val="single" w:color="000000" w:sz="2" w:space="0"/>
              <w:right w:val="single" w:color="000000" w:sz="2" w:space="0"/>
            </w:tcBorders>
            <w:noWrap w:val="0"/>
            <w:vAlign w:val="center"/>
          </w:tcPr>
          <w:p w14:paraId="51A43262">
            <w:pPr>
              <w:jc w:val="center"/>
              <w:rPr>
                <w:rFonts w:hint="eastAsia" w:ascii="宋体" w:hAnsi="宋体"/>
                <w:b/>
                <w:color w:val="auto"/>
                <w:sz w:val="21"/>
                <w:szCs w:val="21"/>
                <w:highlight w:val="none"/>
              </w:rPr>
            </w:pPr>
            <w:r>
              <w:rPr>
                <w:rFonts w:hint="eastAsia" w:ascii="宋体" w:hAnsi="宋体"/>
                <w:b/>
                <w:color w:val="auto"/>
                <w:sz w:val="21"/>
                <w:szCs w:val="21"/>
                <w:highlight w:val="none"/>
              </w:rPr>
              <w:t>姓名</w:t>
            </w:r>
          </w:p>
        </w:tc>
        <w:tc>
          <w:tcPr>
            <w:tcW w:w="906" w:type="dxa"/>
            <w:tcBorders>
              <w:top w:val="single" w:color="000000" w:sz="2" w:space="0"/>
              <w:left w:val="single" w:color="auto" w:sz="4" w:space="0"/>
              <w:bottom w:val="single" w:color="000000" w:sz="2" w:space="0"/>
              <w:right w:val="single" w:color="auto" w:sz="4" w:space="0"/>
            </w:tcBorders>
            <w:noWrap w:val="0"/>
            <w:vAlign w:val="center"/>
          </w:tcPr>
          <w:p w14:paraId="0FEA86AA">
            <w:pPr>
              <w:jc w:val="center"/>
              <w:rPr>
                <w:rFonts w:hint="eastAsia" w:ascii="宋体" w:hAnsi="宋体"/>
                <w:b/>
                <w:color w:val="auto"/>
                <w:sz w:val="21"/>
                <w:szCs w:val="21"/>
                <w:highlight w:val="none"/>
              </w:rPr>
            </w:pPr>
            <w:r>
              <w:rPr>
                <w:rFonts w:hint="eastAsia" w:ascii="宋体" w:hAnsi="宋体"/>
                <w:b/>
                <w:color w:val="auto"/>
                <w:sz w:val="21"/>
                <w:szCs w:val="21"/>
                <w:highlight w:val="none"/>
              </w:rPr>
              <w:t>性别</w:t>
            </w:r>
          </w:p>
        </w:tc>
        <w:tc>
          <w:tcPr>
            <w:tcW w:w="713" w:type="dxa"/>
            <w:tcBorders>
              <w:top w:val="single" w:color="000000" w:sz="2" w:space="0"/>
              <w:left w:val="single" w:color="auto" w:sz="4" w:space="0"/>
              <w:bottom w:val="single" w:color="000000" w:sz="2" w:space="0"/>
              <w:right w:val="single" w:color="auto" w:sz="4" w:space="0"/>
            </w:tcBorders>
            <w:noWrap w:val="0"/>
            <w:vAlign w:val="center"/>
          </w:tcPr>
          <w:p w14:paraId="3079B776">
            <w:pPr>
              <w:jc w:val="center"/>
              <w:rPr>
                <w:rFonts w:hint="eastAsia" w:ascii="宋体" w:hAnsi="宋体"/>
                <w:b/>
                <w:color w:val="auto"/>
                <w:sz w:val="21"/>
                <w:szCs w:val="21"/>
                <w:highlight w:val="none"/>
              </w:rPr>
            </w:pPr>
            <w:r>
              <w:rPr>
                <w:rFonts w:hint="eastAsia" w:ascii="宋体" w:hAnsi="宋体"/>
                <w:b/>
                <w:color w:val="auto"/>
                <w:sz w:val="21"/>
                <w:szCs w:val="21"/>
                <w:highlight w:val="none"/>
              </w:rPr>
              <w:t>年龄</w:t>
            </w:r>
          </w:p>
        </w:tc>
        <w:tc>
          <w:tcPr>
            <w:tcW w:w="966" w:type="dxa"/>
            <w:tcBorders>
              <w:top w:val="single" w:color="000000" w:sz="2" w:space="0"/>
              <w:left w:val="single" w:color="auto" w:sz="4" w:space="0"/>
              <w:bottom w:val="single" w:color="000000" w:sz="2" w:space="0"/>
              <w:right w:val="single" w:color="auto" w:sz="4" w:space="0"/>
            </w:tcBorders>
            <w:noWrap w:val="0"/>
            <w:vAlign w:val="center"/>
          </w:tcPr>
          <w:p w14:paraId="727F595E">
            <w:pPr>
              <w:jc w:val="center"/>
              <w:rPr>
                <w:rFonts w:hint="eastAsia" w:ascii="宋体" w:hAnsi="宋体"/>
                <w:b/>
                <w:color w:val="auto"/>
                <w:sz w:val="21"/>
                <w:szCs w:val="21"/>
                <w:highlight w:val="none"/>
              </w:rPr>
            </w:pPr>
            <w:r>
              <w:rPr>
                <w:rFonts w:hint="eastAsia" w:ascii="宋体" w:hAnsi="宋体"/>
                <w:b/>
                <w:color w:val="auto"/>
                <w:sz w:val="21"/>
                <w:szCs w:val="21"/>
                <w:highlight w:val="none"/>
              </w:rPr>
              <w:t>学历</w:t>
            </w:r>
          </w:p>
        </w:tc>
        <w:tc>
          <w:tcPr>
            <w:tcW w:w="2409" w:type="dxa"/>
            <w:tcBorders>
              <w:top w:val="single" w:color="000000" w:sz="2" w:space="0"/>
              <w:left w:val="single" w:color="auto" w:sz="4" w:space="0"/>
              <w:bottom w:val="single" w:color="000000" w:sz="2" w:space="0"/>
              <w:right w:val="single" w:color="000000" w:sz="2" w:space="0"/>
            </w:tcBorders>
            <w:noWrap w:val="0"/>
            <w:vAlign w:val="center"/>
          </w:tcPr>
          <w:p w14:paraId="6B88A985">
            <w:pPr>
              <w:ind w:firstLine="482"/>
              <w:jc w:val="center"/>
              <w:rPr>
                <w:rFonts w:hint="eastAsia" w:ascii="宋体" w:hAnsi="宋体" w:eastAsia="宋体" w:cs="宋体"/>
                <w:b/>
                <w:color w:val="auto"/>
                <w:sz w:val="21"/>
                <w:szCs w:val="21"/>
                <w:highlight w:val="none"/>
                <w:lang w:eastAsia="zh-CN"/>
              </w:rPr>
            </w:pPr>
            <w:r>
              <w:rPr>
                <w:rFonts w:hint="eastAsia" w:ascii="宋体" w:hAnsi="宋体"/>
                <w:b/>
                <w:color w:val="auto"/>
                <w:sz w:val="21"/>
                <w:szCs w:val="21"/>
                <w:highlight w:val="none"/>
                <w:lang w:eastAsia="zh-CN"/>
              </w:rPr>
              <w:t>证书编号</w:t>
            </w:r>
          </w:p>
        </w:tc>
        <w:tc>
          <w:tcPr>
            <w:tcW w:w="1890" w:type="dxa"/>
            <w:tcBorders>
              <w:top w:val="single" w:color="000000" w:sz="2" w:space="0"/>
              <w:left w:val="single" w:color="auto" w:sz="4" w:space="0"/>
              <w:bottom w:val="single" w:color="000000" w:sz="2" w:space="0"/>
              <w:right w:val="single" w:color="000000" w:sz="2" w:space="0"/>
            </w:tcBorders>
            <w:noWrap w:val="0"/>
            <w:vAlign w:val="center"/>
          </w:tcPr>
          <w:p w14:paraId="1EAE3E50">
            <w:pPr>
              <w:ind w:firstLine="482"/>
              <w:jc w:val="center"/>
              <w:rPr>
                <w:rFonts w:hint="eastAsia" w:ascii="宋体" w:hAnsi="宋体"/>
                <w:b/>
                <w:color w:val="auto"/>
                <w:sz w:val="21"/>
                <w:szCs w:val="21"/>
                <w:highlight w:val="none"/>
              </w:rPr>
            </w:pPr>
            <w:r>
              <w:rPr>
                <w:rFonts w:hint="eastAsia" w:ascii="宋体" w:hAnsi="宋体"/>
                <w:b/>
                <w:color w:val="auto"/>
                <w:sz w:val="21"/>
                <w:szCs w:val="21"/>
                <w:highlight w:val="none"/>
              </w:rPr>
              <w:t>备  注</w:t>
            </w:r>
          </w:p>
        </w:tc>
      </w:tr>
      <w:tr w14:paraId="3A28F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noWrap w:val="0"/>
            <w:vAlign w:val="center"/>
          </w:tcPr>
          <w:p w14:paraId="62C2180C">
            <w:pPr>
              <w:ind w:firstLine="210"/>
              <w:rPr>
                <w:rFonts w:hint="eastAsia" w:ascii="宋体" w:hAnsi="宋体"/>
                <w:color w:val="auto"/>
                <w:sz w:val="21"/>
                <w:szCs w:val="21"/>
                <w:highlight w:val="none"/>
              </w:rPr>
            </w:pPr>
            <w:r>
              <w:rPr>
                <w:rFonts w:hint="eastAsia" w:ascii="宋体" w:hAnsi="宋体"/>
                <w:color w:val="auto"/>
                <w:sz w:val="21"/>
                <w:szCs w:val="21"/>
                <w:highlight w:val="none"/>
              </w:rPr>
              <w:t>1</w:t>
            </w:r>
          </w:p>
        </w:tc>
        <w:tc>
          <w:tcPr>
            <w:tcW w:w="1260" w:type="dxa"/>
            <w:tcBorders>
              <w:top w:val="single" w:color="auto" w:sz="4" w:space="0"/>
              <w:left w:val="single" w:color="auto" w:sz="4" w:space="0"/>
              <w:bottom w:val="single" w:color="000000" w:sz="2" w:space="0"/>
              <w:right w:val="single" w:color="auto" w:sz="4" w:space="0"/>
            </w:tcBorders>
            <w:noWrap w:val="0"/>
            <w:vAlign w:val="center"/>
          </w:tcPr>
          <w:p w14:paraId="75323CBC">
            <w:pPr>
              <w:jc w:val="center"/>
              <w:rPr>
                <w:rFonts w:hint="eastAsia" w:ascii="宋体" w:hAnsi="宋体"/>
                <w:color w:val="auto"/>
                <w:sz w:val="21"/>
                <w:szCs w:val="21"/>
                <w:highlight w:val="none"/>
              </w:rPr>
            </w:pPr>
          </w:p>
        </w:tc>
        <w:tc>
          <w:tcPr>
            <w:tcW w:w="1205" w:type="dxa"/>
            <w:tcBorders>
              <w:top w:val="single" w:color="auto" w:sz="4" w:space="0"/>
              <w:left w:val="single" w:color="auto" w:sz="4" w:space="0"/>
              <w:bottom w:val="single" w:color="000000" w:sz="2" w:space="0"/>
              <w:right w:val="single" w:color="000000" w:sz="2" w:space="0"/>
            </w:tcBorders>
            <w:noWrap w:val="0"/>
            <w:vAlign w:val="center"/>
          </w:tcPr>
          <w:p w14:paraId="1ACB26AF">
            <w:pPr>
              <w:ind w:firstLine="480"/>
              <w:jc w:val="center"/>
              <w:rPr>
                <w:rFonts w:hint="eastAsia" w:ascii="宋体" w:hAnsi="宋体"/>
                <w:color w:val="auto"/>
                <w:sz w:val="21"/>
                <w:szCs w:val="21"/>
                <w:highlight w:val="none"/>
              </w:rPr>
            </w:pPr>
          </w:p>
        </w:tc>
        <w:tc>
          <w:tcPr>
            <w:tcW w:w="906" w:type="dxa"/>
            <w:tcBorders>
              <w:top w:val="single" w:color="auto" w:sz="4" w:space="0"/>
              <w:left w:val="single" w:color="auto" w:sz="4" w:space="0"/>
              <w:bottom w:val="single" w:color="000000" w:sz="2" w:space="0"/>
              <w:right w:val="single" w:color="auto" w:sz="4" w:space="0"/>
            </w:tcBorders>
            <w:noWrap w:val="0"/>
            <w:vAlign w:val="top"/>
          </w:tcPr>
          <w:p w14:paraId="3832F4C0">
            <w:pPr>
              <w:ind w:firstLine="480"/>
              <w:jc w:val="center"/>
              <w:rPr>
                <w:rFonts w:hint="eastAsia" w:ascii="宋体" w:hAnsi="宋体"/>
                <w:color w:val="auto"/>
                <w:sz w:val="21"/>
                <w:szCs w:val="21"/>
                <w:highlight w:val="none"/>
              </w:rPr>
            </w:pPr>
          </w:p>
        </w:tc>
        <w:tc>
          <w:tcPr>
            <w:tcW w:w="713" w:type="dxa"/>
            <w:tcBorders>
              <w:top w:val="single" w:color="auto" w:sz="4" w:space="0"/>
              <w:left w:val="single" w:color="auto" w:sz="4" w:space="0"/>
              <w:bottom w:val="single" w:color="000000" w:sz="2" w:space="0"/>
              <w:right w:val="single" w:color="auto" w:sz="4" w:space="0"/>
            </w:tcBorders>
            <w:noWrap w:val="0"/>
            <w:vAlign w:val="top"/>
          </w:tcPr>
          <w:p w14:paraId="217C6247">
            <w:pPr>
              <w:ind w:firstLine="480"/>
              <w:jc w:val="center"/>
              <w:rPr>
                <w:rFonts w:hint="eastAsia" w:ascii="宋体" w:hAnsi="宋体"/>
                <w:color w:val="auto"/>
                <w:sz w:val="21"/>
                <w:szCs w:val="21"/>
                <w:highlight w:val="none"/>
              </w:rPr>
            </w:pPr>
          </w:p>
        </w:tc>
        <w:tc>
          <w:tcPr>
            <w:tcW w:w="966" w:type="dxa"/>
            <w:tcBorders>
              <w:top w:val="single" w:color="auto" w:sz="4" w:space="0"/>
              <w:left w:val="single" w:color="auto" w:sz="4" w:space="0"/>
              <w:bottom w:val="single" w:color="000000" w:sz="2" w:space="0"/>
              <w:right w:val="single" w:color="auto" w:sz="4" w:space="0"/>
            </w:tcBorders>
            <w:noWrap w:val="0"/>
            <w:vAlign w:val="center"/>
          </w:tcPr>
          <w:p w14:paraId="308B9C25">
            <w:pPr>
              <w:ind w:firstLine="480"/>
              <w:jc w:val="center"/>
              <w:rPr>
                <w:rFonts w:hint="eastAsia" w:ascii="宋体" w:hAnsi="宋体"/>
                <w:color w:val="auto"/>
                <w:sz w:val="21"/>
                <w:szCs w:val="21"/>
                <w:highlight w:val="none"/>
              </w:rPr>
            </w:pPr>
          </w:p>
        </w:tc>
        <w:tc>
          <w:tcPr>
            <w:tcW w:w="2409" w:type="dxa"/>
            <w:tcBorders>
              <w:top w:val="single" w:color="auto" w:sz="4" w:space="0"/>
              <w:left w:val="single" w:color="auto" w:sz="4" w:space="0"/>
              <w:bottom w:val="single" w:color="000000" w:sz="2" w:space="0"/>
              <w:right w:val="single" w:color="000000" w:sz="2" w:space="0"/>
            </w:tcBorders>
            <w:noWrap w:val="0"/>
            <w:vAlign w:val="center"/>
          </w:tcPr>
          <w:p w14:paraId="19E23E1F">
            <w:pPr>
              <w:ind w:firstLine="480"/>
              <w:jc w:val="center"/>
              <w:rPr>
                <w:rFonts w:hint="eastAsia" w:ascii="宋体" w:hAnsi="宋体"/>
                <w:color w:val="auto"/>
                <w:sz w:val="21"/>
                <w:szCs w:val="21"/>
                <w:highlight w:val="none"/>
              </w:rPr>
            </w:pPr>
          </w:p>
        </w:tc>
        <w:tc>
          <w:tcPr>
            <w:tcW w:w="1890" w:type="dxa"/>
            <w:tcBorders>
              <w:top w:val="single" w:color="auto" w:sz="4" w:space="0"/>
              <w:left w:val="single" w:color="auto" w:sz="4" w:space="0"/>
              <w:bottom w:val="single" w:color="000000" w:sz="2" w:space="0"/>
              <w:right w:val="single" w:color="000000" w:sz="2" w:space="0"/>
            </w:tcBorders>
            <w:noWrap w:val="0"/>
            <w:vAlign w:val="center"/>
          </w:tcPr>
          <w:p w14:paraId="4477CE51">
            <w:pPr>
              <w:ind w:firstLine="480"/>
              <w:jc w:val="center"/>
              <w:rPr>
                <w:rFonts w:hint="eastAsia" w:ascii="宋体" w:hAnsi="宋体"/>
                <w:color w:val="auto"/>
                <w:sz w:val="21"/>
                <w:szCs w:val="21"/>
                <w:highlight w:val="none"/>
              </w:rPr>
            </w:pPr>
          </w:p>
        </w:tc>
      </w:tr>
      <w:tr w14:paraId="22F9A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noWrap w:val="0"/>
            <w:vAlign w:val="center"/>
          </w:tcPr>
          <w:p w14:paraId="4611DEE1">
            <w:pPr>
              <w:ind w:firstLine="210"/>
              <w:rPr>
                <w:rFonts w:hint="eastAsia" w:ascii="宋体" w:hAnsi="宋体"/>
                <w:color w:val="auto"/>
                <w:sz w:val="21"/>
                <w:szCs w:val="21"/>
                <w:highlight w:val="none"/>
              </w:rPr>
            </w:pPr>
            <w:r>
              <w:rPr>
                <w:rFonts w:hint="eastAsia" w:ascii="宋体" w:hAnsi="宋体"/>
                <w:color w:val="auto"/>
                <w:sz w:val="21"/>
                <w:szCs w:val="21"/>
                <w:highlight w:val="none"/>
              </w:rPr>
              <w:t>2</w:t>
            </w:r>
          </w:p>
        </w:tc>
        <w:tc>
          <w:tcPr>
            <w:tcW w:w="1260" w:type="dxa"/>
            <w:tcBorders>
              <w:top w:val="single" w:color="auto" w:sz="4" w:space="0"/>
              <w:left w:val="single" w:color="auto" w:sz="4" w:space="0"/>
              <w:bottom w:val="single" w:color="000000" w:sz="2" w:space="0"/>
              <w:right w:val="single" w:color="auto" w:sz="4" w:space="0"/>
            </w:tcBorders>
            <w:noWrap w:val="0"/>
            <w:vAlign w:val="center"/>
          </w:tcPr>
          <w:p w14:paraId="7706DAA0">
            <w:pPr>
              <w:jc w:val="center"/>
              <w:rPr>
                <w:rFonts w:hint="eastAsia" w:ascii="宋体" w:hAnsi="宋体"/>
                <w:color w:val="auto"/>
                <w:sz w:val="21"/>
                <w:szCs w:val="21"/>
                <w:highlight w:val="none"/>
              </w:rPr>
            </w:pPr>
          </w:p>
        </w:tc>
        <w:tc>
          <w:tcPr>
            <w:tcW w:w="1205" w:type="dxa"/>
            <w:tcBorders>
              <w:top w:val="single" w:color="auto" w:sz="4" w:space="0"/>
              <w:left w:val="single" w:color="auto" w:sz="4" w:space="0"/>
              <w:bottom w:val="single" w:color="000000" w:sz="2" w:space="0"/>
              <w:right w:val="single" w:color="000000" w:sz="2" w:space="0"/>
            </w:tcBorders>
            <w:noWrap w:val="0"/>
            <w:vAlign w:val="center"/>
          </w:tcPr>
          <w:p w14:paraId="41ECC0E9">
            <w:pPr>
              <w:ind w:firstLine="480"/>
              <w:jc w:val="center"/>
              <w:rPr>
                <w:rFonts w:hint="eastAsia" w:ascii="宋体" w:hAnsi="宋体"/>
                <w:color w:val="auto"/>
                <w:sz w:val="21"/>
                <w:szCs w:val="21"/>
                <w:highlight w:val="none"/>
              </w:rPr>
            </w:pPr>
          </w:p>
        </w:tc>
        <w:tc>
          <w:tcPr>
            <w:tcW w:w="906" w:type="dxa"/>
            <w:tcBorders>
              <w:top w:val="single" w:color="auto" w:sz="4" w:space="0"/>
              <w:left w:val="single" w:color="auto" w:sz="4" w:space="0"/>
              <w:bottom w:val="single" w:color="000000" w:sz="2" w:space="0"/>
              <w:right w:val="single" w:color="auto" w:sz="4" w:space="0"/>
            </w:tcBorders>
            <w:noWrap w:val="0"/>
            <w:vAlign w:val="top"/>
          </w:tcPr>
          <w:p w14:paraId="4182C01E">
            <w:pPr>
              <w:ind w:firstLine="480"/>
              <w:jc w:val="center"/>
              <w:rPr>
                <w:rFonts w:hint="eastAsia" w:ascii="宋体" w:hAnsi="宋体"/>
                <w:color w:val="auto"/>
                <w:sz w:val="21"/>
                <w:szCs w:val="21"/>
                <w:highlight w:val="none"/>
              </w:rPr>
            </w:pPr>
          </w:p>
        </w:tc>
        <w:tc>
          <w:tcPr>
            <w:tcW w:w="713" w:type="dxa"/>
            <w:tcBorders>
              <w:top w:val="single" w:color="auto" w:sz="4" w:space="0"/>
              <w:left w:val="single" w:color="auto" w:sz="4" w:space="0"/>
              <w:bottom w:val="single" w:color="000000" w:sz="2" w:space="0"/>
              <w:right w:val="single" w:color="auto" w:sz="4" w:space="0"/>
            </w:tcBorders>
            <w:noWrap w:val="0"/>
            <w:vAlign w:val="top"/>
          </w:tcPr>
          <w:p w14:paraId="168D34B3">
            <w:pPr>
              <w:ind w:firstLine="480"/>
              <w:jc w:val="center"/>
              <w:rPr>
                <w:rFonts w:hint="eastAsia" w:ascii="宋体" w:hAnsi="宋体"/>
                <w:color w:val="auto"/>
                <w:sz w:val="21"/>
                <w:szCs w:val="21"/>
                <w:highlight w:val="none"/>
              </w:rPr>
            </w:pPr>
          </w:p>
        </w:tc>
        <w:tc>
          <w:tcPr>
            <w:tcW w:w="966" w:type="dxa"/>
            <w:tcBorders>
              <w:top w:val="single" w:color="auto" w:sz="4" w:space="0"/>
              <w:left w:val="single" w:color="auto" w:sz="4" w:space="0"/>
              <w:bottom w:val="single" w:color="000000" w:sz="2" w:space="0"/>
              <w:right w:val="single" w:color="auto" w:sz="4" w:space="0"/>
            </w:tcBorders>
            <w:noWrap w:val="0"/>
            <w:vAlign w:val="center"/>
          </w:tcPr>
          <w:p w14:paraId="20894B9D">
            <w:pPr>
              <w:ind w:firstLine="480"/>
              <w:jc w:val="center"/>
              <w:rPr>
                <w:rFonts w:hint="eastAsia" w:ascii="宋体" w:hAnsi="宋体"/>
                <w:color w:val="auto"/>
                <w:sz w:val="21"/>
                <w:szCs w:val="21"/>
                <w:highlight w:val="none"/>
              </w:rPr>
            </w:pPr>
          </w:p>
        </w:tc>
        <w:tc>
          <w:tcPr>
            <w:tcW w:w="2409" w:type="dxa"/>
            <w:tcBorders>
              <w:top w:val="single" w:color="auto" w:sz="4" w:space="0"/>
              <w:left w:val="single" w:color="auto" w:sz="4" w:space="0"/>
              <w:bottom w:val="single" w:color="000000" w:sz="2" w:space="0"/>
              <w:right w:val="single" w:color="000000" w:sz="2" w:space="0"/>
            </w:tcBorders>
            <w:noWrap w:val="0"/>
            <w:vAlign w:val="center"/>
          </w:tcPr>
          <w:p w14:paraId="0276B34E">
            <w:pPr>
              <w:ind w:firstLine="480"/>
              <w:jc w:val="center"/>
              <w:rPr>
                <w:rFonts w:hint="eastAsia" w:ascii="宋体" w:hAnsi="宋体"/>
                <w:color w:val="auto"/>
                <w:sz w:val="21"/>
                <w:szCs w:val="21"/>
                <w:highlight w:val="none"/>
              </w:rPr>
            </w:pPr>
          </w:p>
        </w:tc>
        <w:tc>
          <w:tcPr>
            <w:tcW w:w="1890" w:type="dxa"/>
            <w:tcBorders>
              <w:top w:val="single" w:color="auto" w:sz="4" w:space="0"/>
              <w:left w:val="single" w:color="auto" w:sz="4" w:space="0"/>
              <w:bottom w:val="single" w:color="000000" w:sz="2" w:space="0"/>
              <w:right w:val="single" w:color="000000" w:sz="2" w:space="0"/>
            </w:tcBorders>
            <w:noWrap w:val="0"/>
            <w:vAlign w:val="center"/>
          </w:tcPr>
          <w:p w14:paraId="7A663351">
            <w:pPr>
              <w:ind w:firstLine="480"/>
              <w:jc w:val="center"/>
              <w:rPr>
                <w:rFonts w:hint="eastAsia" w:ascii="宋体" w:hAnsi="宋体"/>
                <w:color w:val="auto"/>
                <w:sz w:val="21"/>
                <w:szCs w:val="21"/>
                <w:highlight w:val="none"/>
              </w:rPr>
            </w:pPr>
          </w:p>
        </w:tc>
      </w:tr>
      <w:tr w14:paraId="77A39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noWrap w:val="0"/>
            <w:vAlign w:val="center"/>
          </w:tcPr>
          <w:p w14:paraId="34FEBC3B">
            <w:pPr>
              <w:ind w:firstLine="210"/>
              <w:rPr>
                <w:rFonts w:hint="eastAsia" w:ascii="宋体" w:hAnsi="宋体"/>
                <w:color w:val="auto"/>
                <w:sz w:val="21"/>
                <w:szCs w:val="21"/>
                <w:highlight w:val="none"/>
              </w:rPr>
            </w:pPr>
            <w:r>
              <w:rPr>
                <w:rFonts w:hint="eastAsia" w:ascii="宋体" w:hAnsi="宋体"/>
                <w:color w:val="auto"/>
                <w:sz w:val="21"/>
                <w:szCs w:val="21"/>
                <w:highlight w:val="none"/>
              </w:rPr>
              <w:t>3</w:t>
            </w:r>
          </w:p>
        </w:tc>
        <w:tc>
          <w:tcPr>
            <w:tcW w:w="1260" w:type="dxa"/>
            <w:tcBorders>
              <w:top w:val="single" w:color="auto" w:sz="4" w:space="0"/>
              <w:left w:val="single" w:color="auto" w:sz="4" w:space="0"/>
              <w:bottom w:val="single" w:color="000000" w:sz="2" w:space="0"/>
              <w:right w:val="single" w:color="auto" w:sz="4" w:space="0"/>
            </w:tcBorders>
            <w:noWrap w:val="0"/>
            <w:vAlign w:val="center"/>
          </w:tcPr>
          <w:p w14:paraId="7BAA3CC4">
            <w:pPr>
              <w:jc w:val="center"/>
              <w:rPr>
                <w:rFonts w:hint="eastAsia" w:ascii="宋体" w:hAnsi="宋体"/>
                <w:color w:val="auto"/>
                <w:sz w:val="21"/>
                <w:szCs w:val="21"/>
                <w:highlight w:val="none"/>
              </w:rPr>
            </w:pPr>
          </w:p>
        </w:tc>
        <w:tc>
          <w:tcPr>
            <w:tcW w:w="1205" w:type="dxa"/>
            <w:tcBorders>
              <w:top w:val="single" w:color="auto" w:sz="4" w:space="0"/>
              <w:left w:val="single" w:color="auto" w:sz="4" w:space="0"/>
              <w:bottom w:val="single" w:color="000000" w:sz="2" w:space="0"/>
              <w:right w:val="single" w:color="000000" w:sz="2" w:space="0"/>
            </w:tcBorders>
            <w:noWrap w:val="0"/>
            <w:vAlign w:val="center"/>
          </w:tcPr>
          <w:p w14:paraId="7CFAC49E">
            <w:pPr>
              <w:ind w:firstLine="480"/>
              <w:jc w:val="center"/>
              <w:rPr>
                <w:rFonts w:hint="eastAsia" w:ascii="宋体" w:hAnsi="宋体"/>
                <w:color w:val="auto"/>
                <w:sz w:val="21"/>
                <w:szCs w:val="21"/>
                <w:highlight w:val="none"/>
              </w:rPr>
            </w:pPr>
          </w:p>
        </w:tc>
        <w:tc>
          <w:tcPr>
            <w:tcW w:w="906" w:type="dxa"/>
            <w:tcBorders>
              <w:top w:val="single" w:color="auto" w:sz="4" w:space="0"/>
              <w:left w:val="single" w:color="auto" w:sz="4" w:space="0"/>
              <w:bottom w:val="single" w:color="000000" w:sz="2" w:space="0"/>
              <w:right w:val="single" w:color="auto" w:sz="4" w:space="0"/>
            </w:tcBorders>
            <w:noWrap w:val="0"/>
            <w:vAlign w:val="top"/>
          </w:tcPr>
          <w:p w14:paraId="5FBBF694">
            <w:pPr>
              <w:ind w:firstLine="480"/>
              <w:jc w:val="center"/>
              <w:rPr>
                <w:rFonts w:hint="eastAsia" w:ascii="宋体" w:hAnsi="宋体"/>
                <w:color w:val="auto"/>
                <w:sz w:val="21"/>
                <w:szCs w:val="21"/>
                <w:highlight w:val="none"/>
              </w:rPr>
            </w:pPr>
          </w:p>
        </w:tc>
        <w:tc>
          <w:tcPr>
            <w:tcW w:w="713" w:type="dxa"/>
            <w:tcBorders>
              <w:top w:val="single" w:color="auto" w:sz="4" w:space="0"/>
              <w:left w:val="single" w:color="auto" w:sz="4" w:space="0"/>
              <w:bottom w:val="single" w:color="000000" w:sz="2" w:space="0"/>
              <w:right w:val="single" w:color="auto" w:sz="4" w:space="0"/>
            </w:tcBorders>
            <w:noWrap w:val="0"/>
            <w:vAlign w:val="top"/>
          </w:tcPr>
          <w:p w14:paraId="4C06410C">
            <w:pPr>
              <w:ind w:firstLine="480"/>
              <w:jc w:val="center"/>
              <w:rPr>
                <w:rFonts w:hint="eastAsia" w:ascii="宋体" w:hAnsi="宋体"/>
                <w:color w:val="auto"/>
                <w:sz w:val="21"/>
                <w:szCs w:val="21"/>
                <w:highlight w:val="none"/>
              </w:rPr>
            </w:pPr>
          </w:p>
        </w:tc>
        <w:tc>
          <w:tcPr>
            <w:tcW w:w="966" w:type="dxa"/>
            <w:tcBorders>
              <w:top w:val="single" w:color="auto" w:sz="4" w:space="0"/>
              <w:left w:val="single" w:color="auto" w:sz="4" w:space="0"/>
              <w:bottom w:val="single" w:color="000000" w:sz="2" w:space="0"/>
              <w:right w:val="single" w:color="auto" w:sz="4" w:space="0"/>
            </w:tcBorders>
            <w:noWrap w:val="0"/>
            <w:vAlign w:val="center"/>
          </w:tcPr>
          <w:p w14:paraId="10A7B6E4">
            <w:pPr>
              <w:ind w:firstLine="480"/>
              <w:jc w:val="center"/>
              <w:rPr>
                <w:rFonts w:hint="eastAsia" w:ascii="宋体" w:hAnsi="宋体"/>
                <w:color w:val="auto"/>
                <w:sz w:val="21"/>
                <w:szCs w:val="21"/>
                <w:highlight w:val="none"/>
              </w:rPr>
            </w:pPr>
          </w:p>
        </w:tc>
        <w:tc>
          <w:tcPr>
            <w:tcW w:w="2409" w:type="dxa"/>
            <w:tcBorders>
              <w:top w:val="single" w:color="auto" w:sz="4" w:space="0"/>
              <w:left w:val="single" w:color="auto" w:sz="4" w:space="0"/>
              <w:bottom w:val="single" w:color="000000" w:sz="2" w:space="0"/>
              <w:right w:val="single" w:color="000000" w:sz="2" w:space="0"/>
            </w:tcBorders>
            <w:noWrap w:val="0"/>
            <w:vAlign w:val="center"/>
          </w:tcPr>
          <w:p w14:paraId="3BECEC7C">
            <w:pPr>
              <w:ind w:firstLine="480"/>
              <w:jc w:val="center"/>
              <w:rPr>
                <w:rFonts w:hint="eastAsia" w:ascii="宋体" w:hAnsi="宋体"/>
                <w:color w:val="auto"/>
                <w:sz w:val="21"/>
                <w:szCs w:val="21"/>
                <w:highlight w:val="none"/>
              </w:rPr>
            </w:pPr>
          </w:p>
        </w:tc>
        <w:tc>
          <w:tcPr>
            <w:tcW w:w="1890" w:type="dxa"/>
            <w:tcBorders>
              <w:top w:val="single" w:color="auto" w:sz="4" w:space="0"/>
              <w:left w:val="single" w:color="auto" w:sz="4" w:space="0"/>
              <w:bottom w:val="single" w:color="000000" w:sz="2" w:space="0"/>
              <w:right w:val="single" w:color="000000" w:sz="2" w:space="0"/>
            </w:tcBorders>
            <w:noWrap w:val="0"/>
            <w:vAlign w:val="center"/>
          </w:tcPr>
          <w:p w14:paraId="516FD523">
            <w:pPr>
              <w:ind w:firstLine="480"/>
              <w:jc w:val="center"/>
              <w:rPr>
                <w:rFonts w:hint="eastAsia" w:ascii="宋体" w:hAnsi="宋体"/>
                <w:color w:val="auto"/>
                <w:sz w:val="21"/>
                <w:szCs w:val="21"/>
                <w:highlight w:val="none"/>
              </w:rPr>
            </w:pPr>
          </w:p>
        </w:tc>
      </w:tr>
      <w:tr w14:paraId="66288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noWrap w:val="0"/>
            <w:vAlign w:val="center"/>
          </w:tcPr>
          <w:p w14:paraId="2531C257">
            <w:pPr>
              <w:ind w:firstLine="210"/>
              <w:rPr>
                <w:rFonts w:hint="eastAsia" w:ascii="宋体" w:hAnsi="宋体"/>
                <w:color w:val="auto"/>
                <w:sz w:val="21"/>
                <w:szCs w:val="21"/>
                <w:highlight w:val="none"/>
              </w:rPr>
            </w:pPr>
            <w:r>
              <w:rPr>
                <w:rFonts w:hint="eastAsia" w:ascii="宋体" w:hAnsi="宋体"/>
                <w:color w:val="auto"/>
                <w:sz w:val="21"/>
                <w:szCs w:val="21"/>
                <w:highlight w:val="none"/>
              </w:rPr>
              <w:t>4</w:t>
            </w:r>
          </w:p>
        </w:tc>
        <w:tc>
          <w:tcPr>
            <w:tcW w:w="1260" w:type="dxa"/>
            <w:tcBorders>
              <w:top w:val="single" w:color="auto" w:sz="4" w:space="0"/>
              <w:left w:val="single" w:color="auto" w:sz="4" w:space="0"/>
              <w:bottom w:val="single" w:color="000000" w:sz="2" w:space="0"/>
              <w:right w:val="single" w:color="auto" w:sz="4" w:space="0"/>
            </w:tcBorders>
            <w:noWrap w:val="0"/>
            <w:vAlign w:val="center"/>
          </w:tcPr>
          <w:p w14:paraId="00EFE004">
            <w:pPr>
              <w:ind w:firstLine="480"/>
              <w:rPr>
                <w:rFonts w:hint="eastAsia" w:ascii="宋体" w:hAnsi="宋体"/>
                <w:color w:val="auto"/>
                <w:sz w:val="21"/>
                <w:szCs w:val="21"/>
                <w:highlight w:val="none"/>
              </w:rPr>
            </w:pPr>
          </w:p>
        </w:tc>
        <w:tc>
          <w:tcPr>
            <w:tcW w:w="1205" w:type="dxa"/>
            <w:tcBorders>
              <w:top w:val="single" w:color="auto" w:sz="4" w:space="0"/>
              <w:left w:val="single" w:color="auto" w:sz="4" w:space="0"/>
              <w:bottom w:val="single" w:color="000000" w:sz="2" w:space="0"/>
              <w:right w:val="single" w:color="000000" w:sz="2" w:space="0"/>
            </w:tcBorders>
            <w:noWrap w:val="0"/>
            <w:vAlign w:val="center"/>
          </w:tcPr>
          <w:p w14:paraId="7237348B">
            <w:pPr>
              <w:ind w:firstLine="480"/>
              <w:jc w:val="center"/>
              <w:rPr>
                <w:rFonts w:hint="eastAsia" w:ascii="宋体" w:hAnsi="宋体"/>
                <w:color w:val="auto"/>
                <w:sz w:val="21"/>
                <w:szCs w:val="21"/>
                <w:highlight w:val="none"/>
              </w:rPr>
            </w:pPr>
          </w:p>
        </w:tc>
        <w:tc>
          <w:tcPr>
            <w:tcW w:w="906" w:type="dxa"/>
            <w:tcBorders>
              <w:top w:val="single" w:color="auto" w:sz="4" w:space="0"/>
              <w:left w:val="single" w:color="auto" w:sz="4" w:space="0"/>
              <w:bottom w:val="single" w:color="000000" w:sz="2" w:space="0"/>
              <w:right w:val="single" w:color="auto" w:sz="4" w:space="0"/>
            </w:tcBorders>
            <w:noWrap w:val="0"/>
            <w:vAlign w:val="top"/>
          </w:tcPr>
          <w:p w14:paraId="7EEB6AD4">
            <w:pPr>
              <w:ind w:firstLine="480"/>
              <w:jc w:val="center"/>
              <w:rPr>
                <w:rFonts w:hint="eastAsia" w:ascii="宋体" w:hAnsi="宋体"/>
                <w:color w:val="auto"/>
                <w:sz w:val="21"/>
                <w:szCs w:val="21"/>
                <w:highlight w:val="none"/>
              </w:rPr>
            </w:pPr>
          </w:p>
        </w:tc>
        <w:tc>
          <w:tcPr>
            <w:tcW w:w="713" w:type="dxa"/>
            <w:tcBorders>
              <w:top w:val="single" w:color="auto" w:sz="4" w:space="0"/>
              <w:left w:val="single" w:color="auto" w:sz="4" w:space="0"/>
              <w:bottom w:val="single" w:color="000000" w:sz="2" w:space="0"/>
              <w:right w:val="single" w:color="auto" w:sz="4" w:space="0"/>
            </w:tcBorders>
            <w:noWrap w:val="0"/>
            <w:vAlign w:val="top"/>
          </w:tcPr>
          <w:p w14:paraId="3059CB93">
            <w:pPr>
              <w:ind w:firstLine="480"/>
              <w:jc w:val="center"/>
              <w:rPr>
                <w:rFonts w:hint="eastAsia" w:ascii="宋体" w:hAnsi="宋体"/>
                <w:color w:val="auto"/>
                <w:sz w:val="21"/>
                <w:szCs w:val="21"/>
                <w:highlight w:val="none"/>
              </w:rPr>
            </w:pPr>
          </w:p>
        </w:tc>
        <w:tc>
          <w:tcPr>
            <w:tcW w:w="966" w:type="dxa"/>
            <w:tcBorders>
              <w:top w:val="single" w:color="auto" w:sz="4" w:space="0"/>
              <w:left w:val="single" w:color="auto" w:sz="4" w:space="0"/>
              <w:bottom w:val="single" w:color="000000" w:sz="2" w:space="0"/>
              <w:right w:val="single" w:color="auto" w:sz="4" w:space="0"/>
            </w:tcBorders>
            <w:noWrap w:val="0"/>
            <w:vAlign w:val="center"/>
          </w:tcPr>
          <w:p w14:paraId="39C11D23">
            <w:pPr>
              <w:ind w:firstLine="480"/>
              <w:jc w:val="center"/>
              <w:rPr>
                <w:rFonts w:hint="eastAsia" w:ascii="宋体" w:hAnsi="宋体"/>
                <w:color w:val="auto"/>
                <w:sz w:val="21"/>
                <w:szCs w:val="21"/>
                <w:highlight w:val="none"/>
              </w:rPr>
            </w:pPr>
          </w:p>
        </w:tc>
        <w:tc>
          <w:tcPr>
            <w:tcW w:w="2409" w:type="dxa"/>
            <w:tcBorders>
              <w:top w:val="single" w:color="auto" w:sz="4" w:space="0"/>
              <w:left w:val="single" w:color="auto" w:sz="4" w:space="0"/>
              <w:bottom w:val="single" w:color="000000" w:sz="2" w:space="0"/>
              <w:right w:val="single" w:color="000000" w:sz="2" w:space="0"/>
            </w:tcBorders>
            <w:noWrap w:val="0"/>
            <w:vAlign w:val="center"/>
          </w:tcPr>
          <w:p w14:paraId="1056B2D3">
            <w:pPr>
              <w:ind w:firstLine="480"/>
              <w:jc w:val="center"/>
              <w:rPr>
                <w:rFonts w:hint="eastAsia" w:ascii="宋体" w:hAnsi="宋体"/>
                <w:color w:val="auto"/>
                <w:sz w:val="21"/>
                <w:szCs w:val="21"/>
                <w:highlight w:val="none"/>
              </w:rPr>
            </w:pPr>
          </w:p>
        </w:tc>
        <w:tc>
          <w:tcPr>
            <w:tcW w:w="1890" w:type="dxa"/>
            <w:tcBorders>
              <w:top w:val="single" w:color="auto" w:sz="4" w:space="0"/>
              <w:left w:val="single" w:color="auto" w:sz="4" w:space="0"/>
              <w:bottom w:val="single" w:color="000000" w:sz="2" w:space="0"/>
              <w:right w:val="single" w:color="000000" w:sz="2" w:space="0"/>
            </w:tcBorders>
            <w:noWrap w:val="0"/>
            <w:vAlign w:val="center"/>
          </w:tcPr>
          <w:p w14:paraId="38E68784">
            <w:pPr>
              <w:ind w:firstLine="480"/>
              <w:jc w:val="center"/>
              <w:rPr>
                <w:rFonts w:hint="eastAsia" w:ascii="宋体" w:hAnsi="宋体"/>
                <w:color w:val="auto"/>
                <w:sz w:val="21"/>
                <w:szCs w:val="21"/>
                <w:highlight w:val="none"/>
              </w:rPr>
            </w:pPr>
          </w:p>
        </w:tc>
      </w:tr>
      <w:tr w14:paraId="0C59E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noWrap w:val="0"/>
            <w:vAlign w:val="center"/>
          </w:tcPr>
          <w:p w14:paraId="33711561">
            <w:pPr>
              <w:ind w:firstLine="210"/>
              <w:rPr>
                <w:rFonts w:hint="eastAsia" w:ascii="宋体" w:hAnsi="宋体"/>
                <w:color w:val="auto"/>
                <w:sz w:val="21"/>
                <w:szCs w:val="21"/>
                <w:highlight w:val="none"/>
              </w:rPr>
            </w:pPr>
            <w:r>
              <w:rPr>
                <w:rFonts w:hint="eastAsia" w:ascii="宋体" w:hAnsi="宋体"/>
                <w:color w:val="auto"/>
                <w:sz w:val="21"/>
                <w:szCs w:val="21"/>
                <w:highlight w:val="none"/>
              </w:rPr>
              <w:t>5</w:t>
            </w:r>
          </w:p>
        </w:tc>
        <w:tc>
          <w:tcPr>
            <w:tcW w:w="1260" w:type="dxa"/>
            <w:tcBorders>
              <w:top w:val="single" w:color="auto" w:sz="4" w:space="0"/>
              <w:left w:val="single" w:color="auto" w:sz="4" w:space="0"/>
              <w:bottom w:val="single" w:color="000000" w:sz="2" w:space="0"/>
              <w:right w:val="single" w:color="auto" w:sz="4" w:space="0"/>
            </w:tcBorders>
            <w:noWrap w:val="0"/>
            <w:vAlign w:val="top"/>
          </w:tcPr>
          <w:p w14:paraId="15EF6C99">
            <w:pPr>
              <w:ind w:firstLine="480"/>
              <w:jc w:val="center"/>
              <w:rPr>
                <w:rFonts w:hint="eastAsia" w:ascii="宋体" w:hAnsi="宋体"/>
                <w:color w:val="auto"/>
                <w:sz w:val="21"/>
                <w:szCs w:val="21"/>
                <w:highlight w:val="none"/>
              </w:rPr>
            </w:pPr>
          </w:p>
        </w:tc>
        <w:tc>
          <w:tcPr>
            <w:tcW w:w="1205" w:type="dxa"/>
            <w:tcBorders>
              <w:top w:val="single" w:color="auto" w:sz="4" w:space="0"/>
              <w:left w:val="single" w:color="auto" w:sz="4" w:space="0"/>
              <w:bottom w:val="single" w:color="000000" w:sz="2" w:space="0"/>
              <w:right w:val="single" w:color="000000" w:sz="2" w:space="0"/>
            </w:tcBorders>
            <w:noWrap w:val="0"/>
            <w:vAlign w:val="center"/>
          </w:tcPr>
          <w:p w14:paraId="7FF3363F">
            <w:pPr>
              <w:ind w:firstLine="480"/>
              <w:jc w:val="center"/>
              <w:rPr>
                <w:rFonts w:hint="eastAsia" w:ascii="宋体" w:hAnsi="宋体"/>
                <w:color w:val="auto"/>
                <w:sz w:val="21"/>
                <w:szCs w:val="21"/>
                <w:highlight w:val="none"/>
              </w:rPr>
            </w:pPr>
          </w:p>
        </w:tc>
        <w:tc>
          <w:tcPr>
            <w:tcW w:w="906" w:type="dxa"/>
            <w:tcBorders>
              <w:top w:val="single" w:color="auto" w:sz="4" w:space="0"/>
              <w:left w:val="single" w:color="auto" w:sz="4" w:space="0"/>
              <w:bottom w:val="single" w:color="000000" w:sz="2" w:space="0"/>
              <w:right w:val="single" w:color="auto" w:sz="4" w:space="0"/>
            </w:tcBorders>
            <w:noWrap w:val="0"/>
            <w:vAlign w:val="top"/>
          </w:tcPr>
          <w:p w14:paraId="26E2B731">
            <w:pPr>
              <w:ind w:firstLine="480"/>
              <w:jc w:val="center"/>
              <w:rPr>
                <w:rFonts w:hint="eastAsia" w:ascii="宋体" w:hAnsi="宋体"/>
                <w:color w:val="auto"/>
                <w:sz w:val="21"/>
                <w:szCs w:val="21"/>
                <w:highlight w:val="none"/>
              </w:rPr>
            </w:pPr>
          </w:p>
        </w:tc>
        <w:tc>
          <w:tcPr>
            <w:tcW w:w="713" w:type="dxa"/>
            <w:tcBorders>
              <w:top w:val="single" w:color="auto" w:sz="4" w:space="0"/>
              <w:left w:val="single" w:color="auto" w:sz="4" w:space="0"/>
              <w:bottom w:val="single" w:color="000000" w:sz="2" w:space="0"/>
              <w:right w:val="single" w:color="auto" w:sz="4" w:space="0"/>
            </w:tcBorders>
            <w:noWrap w:val="0"/>
            <w:vAlign w:val="top"/>
          </w:tcPr>
          <w:p w14:paraId="52CA8A57">
            <w:pPr>
              <w:ind w:firstLine="480"/>
              <w:jc w:val="center"/>
              <w:rPr>
                <w:rFonts w:hint="eastAsia" w:ascii="宋体" w:hAnsi="宋体"/>
                <w:color w:val="auto"/>
                <w:sz w:val="21"/>
                <w:szCs w:val="21"/>
                <w:highlight w:val="none"/>
              </w:rPr>
            </w:pPr>
          </w:p>
        </w:tc>
        <w:tc>
          <w:tcPr>
            <w:tcW w:w="966" w:type="dxa"/>
            <w:tcBorders>
              <w:top w:val="single" w:color="auto" w:sz="4" w:space="0"/>
              <w:left w:val="single" w:color="auto" w:sz="4" w:space="0"/>
              <w:bottom w:val="single" w:color="000000" w:sz="2" w:space="0"/>
              <w:right w:val="single" w:color="auto" w:sz="4" w:space="0"/>
            </w:tcBorders>
            <w:noWrap w:val="0"/>
            <w:vAlign w:val="center"/>
          </w:tcPr>
          <w:p w14:paraId="6ECC4B66">
            <w:pPr>
              <w:ind w:firstLine="480"/>
              <w:jc w:val="center"/>
              <w:rPr>
                <w:rFonts w:hint="eastAsia" w:ascii="宋体" w:hAnsi="宋体"/>
                <w:color w:val="auto"/>
                <w:sz w:val="21"/>
                <w:szCs w:val="21"/>
                <w:highlight w:val="none"/>
              </w:rPr>
            </w:pPr>
          </w:p>
        </w:tc>
        <w:tc>
          <w:tcPr>
            <w:tcW w:w="2409" w:type="dxa"/>
            <w:tcBorders>
              <w:top w:val="single" w:color="auto" w:sz="4" w:space="0"/>
              <w:left w:val="single" w:color="auto" w:sz="4" w:space="0"/>
              <w:bottom w:val="single" w:color="000000" w:sz="2" w:space="0"/>
              <w:right w:val="single" w:color="000000" w:sz="2" w:space="0"/>
            </w:tcBorders>
            <w:noWrap w:val="0"/>
            <w:vAlign w:val="center"/>
          </w:tcPr>
          <w:p w14:paraId="26C18728">
            <w:pPr>
              <w:ind w:firstLine="480"/>
              <w:jc w:val="center"/>
              <w:rPr>
                <w:rFonts w:hint="eastAsia" w:ascii="宋体" w:hAnsi="宋体"/>
                <w:color w:val="auto"/>
                <w:sz w:val="21"/>
                <w:szCs w:val="21"/>
                <w:highlight w:val="none"/>
              </w:rPr>
            </w:pPr>
          </w:p>
        </w:tc>
        <w:tc>
          <w:tcPr>
            <w:tcW w:w="1890" w:type="dxa"/>
            <w:tcBorders>
              <w:top w:val="single" w:color="auto" w:sz="4" w:space="0"/>
              <w:left w:val="single" w:color="auto" w:sz="4" w:space="0"/>
              <w:bottom w:val="single" w:color="000000" w:sz="2" w:space="0"/>
              <w:right w:val="single" w:color="000000" w:sz="2" w:space="0"/>
            </w:tcBorders>
            <w:noWrap w:val="0"/>
            <w:vAlign w:val="center"/>
          </w:tcPr>
          <w:p w14:paraId="7E06A1C5">
            <w:pPr>
              <w:ind w:firstLine="480"/>
              <w:jc w:val="center"/>
              <w:rPr>
                <w:rFonts w:hint="eastAsia" w:ascii="宋体" w:hAnsi="宋体"/>
                <w:color w:val="auto"/>
                <w:sz w:val="21"/>
                <w:szCs w:val="21"/>
                <w:highlight w:val="none"/>
              </w:rPr>
            </w:pPr>
          </w:p>
        </w:tc>
      </w:tr>
      <w:tr w14:paraId="3BFF0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noWrap w:val="0"/>
            <w:vAlign w:val="center"/>
          </w:tcPr>
          <w:p w14:paraId="428B9169">
            <w:pPr>
              <w:ind w:firstLine="210"/>
              <w:rPr>
                <w:rFonts w:hint="eastAsia" w:ascii="宋体" w:hAnsi="宋体"/>
                <w:color w:val="auto"/>
                <w:sz w:val="21"/>
                <w:szCs w:val="21"/>
                <w:highlight w:val="none"/>
              </w:rPr>
            </w:pPr>
            <w:r>
              <w:rPr>
                <w:rFonts w:hint="eastAsia" w:ascii="宋体" w:hAnsi="宋体"/>
                <w:color w:val="auto"/>
                <w:sz w:val="21"/>
                <w:szCs w:val="21"/>
                <w:highlight w:val="none"/>
              </w:rPr>
              <w:t>6</w:t>
            </w:r>
          </w:p>
        </w:tc>
        <w:tc>
          <w:tcPr>
            <w:tcW w:w="1260" w:type="dxa"/>
            <w:tcBorders>
              <w:top w:val="single" w:color="auto" w:sz="4" w:space="0"/>
              <w:left w:val="single" w:color="auto" w:sz="4" w:space="0"/>
              <w:bottom w:val="single" w:color="000000" w:sz="2" w:space="0"/>
              <w:right w:val="single" w:color="auto" w:sz="4" w:space="0"/>
            </w:tcBorders>
            <w:noWrap w:val="0"/>
            <w:vAlign w:val="top"/>
          </w:tcPr>
          <w:p w14:paraId="082E1C99">
            <w:pPr>
              <w:ind w:firstLine="480"/>
              <w:jc w:val="center"/>
              <w:rPr>
                <w:rFonts w:hint="eastAsia" w:ascii="宋体" w:hAnsi="宋体"/>
                <w:color w:val="auto"/>
                <w:sz w:val="21"/>
                <w:szCs w:val="21"/>
                <w:highlight w:val="none"/>
              </w:rPr>
            </w:pPr>
          </w:p>
        </w:tc>
        <w:tc>
          <w:tcPr>
            <w:tcW w:w="1205" w:type="dxa"/>
            <w:tcBorders>
              <w:top w:val="single" w:color="auto" w:sz="4" w:space="0"/>
              <w:left w:val="single" w:color="auto" w:sz="4" w:space="0"/>
              <w:bottom w:val="single" w:color="000000" w:sz="2" w:space="0"/>
              <w:right w:val="single" w:color="000000" w:sz="2" w:space="0"/>
            </w:tcBorders>
            <w:noWrap w:val="0"/>
            <w:vAlign w:val="center"/>
          </w:tcPr>
          <w:p w14:paraId="186EA124">
            <w:pPr>
              <w:ind w:firstLine="480"/>
              <w:jc w:val="center"/>
              <w:rPr>
                <w:rFonts w:hint="eastAsia" w:ascii="宋体" w:hAnsi="宋体"/>
                <w:color w:val="auto"/>
                <w:sz w:val="21"/>
                <w:szCs w:val="21"/>
                <w:highlight w:val="none"/>
              </w:rPr>
            </w:pPr>
          </w:p>
        </w:tc>
        <w:tc>
          <w:tcPr>
            <w:tcW w:w="906" w:type="dxa"/>
            <w:tcBorders>
              <w:top w:val="single" w:color="auto" w:sz="4" w:space="0"/>
              <w:left w:val="single" w:color="auto" w:sz="4" w:space="0"/>
              <w:bottom w:val="single" w:color="000000" w:sz="2" w:space="0"/>
              <w:right w:val="single" w:color="auto" w:sz="4" w:space="0"/>
            </w:tcBorders>
            <w:noWrap w:val="0"/>
            <w:vAlign w:val="top"/>
          </w:tcPr>
          <w:p w14:paraId="4DA5D373">
            <w:pPr>
              <w:ind w:firstLine="480"/>
              <w:jc w:val="center"/>
              <w:rPr>
                <w:rFonts w:hint="eastAsia" w:ascii="宋体" w:hAnsi="宋体"/>
                <w:color w:val="auto"/>
                <w:sz w:val="21"/>
                <w:szCs w:val="21"/>
                <w:highlight w:val="none"/>
              </w:rPr>
            </w:pPr>
          </w:p>
        </w:tc>
        <w:tc>
          <w:tcPr>
            <w:tcW w:w="713" w:type="dxa"/>
            <w:tcBorders>
              <w:top w:val="single" w:color="auto" w:sz="4" w:space="0"/>
              <w:left w:val="single" w:color="auto" w:sz="4" w:space="0"/>
              <w:bottom w:val="single" w:color="000000" w:sz="2" w:space="0"/>
              <w:right w:val="single" w:color="auto" w:sz="4" w:space="0"/>
            </w:tcBorders>
            <w:noWrap w:val="0"/>
            <w:vAlign w:val="top"/>
          </w:tcPr>
          <w:p w14:paraId="6018D4FD">
            <w:pPr>
              <w:ind w:firstLine="480"/>
              <w:jc w:val="center"/>
              <w:rPr>
                <w:rFonts w:hint="eastAsia" w:ascii="宋体" w:hAnsi="宋体"/>
                <w:color w:val="auto"/>
                <w:sz w:val="21"/>
                <w:szCs w:val="21"/>
                <w:highlight w:val="none"/>
              </w:rPr>
            </w:pPr>
          </w:p>
        </w:tc>
        <w:tc>
          <w:tcPr>
            <w:tcW w:w="966" w:type="dxa"/>
            <w:tcBorders>
              <w:top w:val="single" w:color="auto" w:sz="4" w:space="0"/>
              <w:left w:val="single" w:color="auto" w:sz="4" w:space="0"/>
              <w:bottom w:val="single" w:color="000000" w:sz="2" w:space="0"/>
              <w:right w:val="single" w:color="auto" w:sz="4" w:space="0"/>
            </w:tcBorders>
            <w:noWrap w:val="0"/>
            <w:vAlign w:val="center"/>
          </w:tcPr>
          <w:p w14:paraId="53C6DD70">
            <w:pPr>
              <w:ind w:firstLine="480"/>
              <w:jc w:val="center"/>
              <w:rPr>
                <w:rFonts w:hint="eastAsia" w:ascii="宋体" w:hAnsi="宋体"/>
                <w:color w:val="auto"/>
                <w:sz w:val="21"/>
                <w:szCs w:val="21"/>
                <w:highlight w:val="none"/>
              </w:rPr>
            </w:pPr>
          </w:p>
        </w:tc>
        <w:tc>
          <w:tcPr>
            <w:tcW w:w="2409" w:type="dxa"/>
            <w:tcBorders>
              <w:top w:val="single" w:color="auto" w:sz="4" w:space="0"/>
              <w:left w:val="single" w:color="auto" w:sz="4" w:space="0"/>
              <w:bottom w:val="single" w:color="000000" w:sz="2" w:space="0"/>
              <w:right w:val="single" w:color="000000" w:sz="2" w:space="0"/>
            </w:tcBorders>
            <w:noWrap w:val="0"/>
            <w:vAlign w:val="center"/>
          </w:tcPr>
          <w:p w14:paraId="6E2B293B">
            <w:pPr>
              <w:ind w:firstLine="480"/>
              <w:jc w:val="center"/>
              <w:rPr>
                <w:rFonts w:hint="eastAsia" w:ascii="宋体" w:hAnsi="宋体"/>
                <w:color w:val="auto"/>
                <w:sz w:val="21"/>
                <w:szCs w:val="21"/>
                <w:highlight w:val="none"/>
              </w:rPr>
            </w:pPr>
          </w:p>
        </w:tc>
        <w:tc>
          <w:tcPr>
            <w:tcW w:w="1890" w:type="dxa"/>
            <w:tcBorders>
              <w:top w:val="single" w:color="auto" w:sz="4" w:space="0"/>
              <w:left w:val="single" w:color="auto" w:sz="4" w:space="0"/>
              <w:bottom w:val="single" w:color="000000" w:sz="2" w:space="0"/>
              <w:right w:val="single" w:color="000000" w:sz="2" w:space="0"/>
            </w:tcBorders>
            <w:noWrap w:val="0"/>
            <w:vAlign w:val="center"/>
          </w:tcPr>
          <w:p w14:paraId="09FC4BBD">
            <w:pPr>
              <w:ind w:firstLine="480"/>
              <w:jc w:val="center"/>
              <w:rPr>
                <w:rFonts w:hint="eastAsia" w:ascii="宋体" w:hAnsi="宋体"/>
                <w:color w:val="auto"/>
                <w:sz w:val="21"/>
                <w:szCs w:val="21"/>
                <w:highlight w:val="none"/>
              </w:rPr>
            </w:pPr>
          </w:p>
        </w:tc>
      </w:tr>
      <w:tr w14:paraId="7B2C5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noWrap w:val="0"/>
            <w:vAlign w:val="center"/>
          </w:tcPr>
          <w:p w14:paraId="3F2E95EB">
            <w:pPr>
              <w:ind w:firstLine="210"/>
              <w:rPr>
                <w:rFonts w:hint="eastAsia" w:ascii="宋体" w:hAnsi="宋体"/>
                <w:color w:val="auto"/>
                <w:sz w:val="21"/>
                <w:szCs w:val="21"/>
                <w:highlight w:val="none"/>
              </w:rPr>
            </w:pPr>
            <w:r>
              <w:rPr>
                <w:rFonts w:ascii="宋体" w:hAnsi="宋体"/>
                <w:color w:val="auto"/>
                <w:sz w:val="21"/>
                <w:szCs w:val="21"/>
                <w:highlight w:val="none"/>
              </w:rPr>
              <w:t>…</w:t>
            </w:r>
          </w:p>
        </w:tc>
        <w:tc>
          <w:tcPr>
            <w:tcW w:w="1260" w:type="dxa"/>
            <w:tcBorders>
              <w:top w:val="single" w:color="auto" w:sz="4" w:space="0"/>
              <w:left w:val="single" w:color="auto" w:sz="4" w:space="0"/>
              <w:bottom w:val="single" w:color="000000" w:sz="2" w:space="0"/>
              <w:right w:val="single" w:color="auto" w:sz="4" w:space="0"/>
            </w:tcBorders>
            <w:noWrap w:val="0"/>
            <w:vAlign w:val="top"/>
          </w:tcPr>
          <w:p w14:paraId="34DE41A1">
            <w:pPr>
              <w:ind w:firstLine="480"/>
              <w:jc w:val="center"/>
              <w:rPr>
                <w:rFonts w:hint="eastAsia" w:ascii="宋体" w:hAnsi="宋体"/>
                <w:color w:val="auto"/>
                <w:sz w:val="21"/>
                <w:szCs w:val="21"/>
                <w:highlight w:val="none"/>
              </w:rPr>
            </w:pPr>
          </w:p>
        </w:tc>
        <w:tc>
          <w:tcPr>
            <w:tcW w:w="1205" w:type="dxa"/>
            <w:tcBorders>
              <w:top w:val="single" w:color="auto" w:sz="4" w:space="0"/>
              <w:left w:val="single" w:color="auto" w:sz="4" w:space="0"/>
              <w:bottom w:val="single" w:color="000000" w:sz="2" w:space="0"/>
              <w:right w:val="single" w:color="000000" w:sz="2" w:space="0"/>
            </w:tcBorders>
            <w:noWrap w:val="0"/>
            <w:vAlign w:val="center"/>
          </w:tcPr>
          <w:p w14:paraId="69CDE1A3">
            <w:pPr>
              <w:ind w:firstLine="480"/>
              <w:jc w:val="center"/>
              <w:rPr>
                <w:rFonts w:hint="eastAsia" w:ascii="宋体" w:hAnsi="宋体"/>
                <w:color w:val="auto"/>
                <w:sz w:val="21"/>
                <w:szCs w:val="21"/>
                <w:highlight w:val="none"/>
              </w:rPr>
            </w:pPr>
          </w:p>
        </w:tc>
        <w:tc>
          <w:tcPr>
            <w:tcW w:w="906" w:type="dxa"/>
            <w:tcBorders>
              <w:top w:val="single" w:color="auto" w:sz="4" w:space="0"/>
              <w:left w:val="single" w:color="auto" w:sz="4" w:space="0"/>
              <w:bottom w:val="single" w:color="000000" w:sz="2" w:space="0"/>
              <w:right w:val="single" w:color="auto" w:sz="4" w:space="0"/>
            </w:tcBorders>
            <w:noWrap w:val="0"/>
            <w:vAlign w:val="top"/>
          </w:tcPr>
          <w:p w14:paraId="61C74BF8">
            <w:pPr>
              <w:ind w:firstLine="480"/>
              <w:jc w:val="center"/>
              <w:rPr>
                <w:rFonts w:hint="eastAsia" w:ascii="宋体" w:hAnsi="宋体"/>
                <w:color w:val="auto"/>
                <w:sz w:val="21"/>
                <w:szCs w:val="21"/>
                <w:highlight w:val="none"/>
              </w:rPr>
            </w:pPr>
          </w:p>
        </w:tc>
        <w:tc>
          <w:tcPr>
            <w:tcW w:w="713" w:type="dxa"/>
            <w:tcBorders>
              <w:top w:val="single" w:color="auto" w:sz="4" w:space="0"/>
              <w:left w:val="single" w:color="auto" w:sz="4" w:space="0"/>
              <w:bottom w:val="single" w:color="000000" w:sz="2" w:space="0"/>
              <w:right w:val="single" w:color="auto" w:sz="4" w:space="0"/>
            </w:tcBorders>
            <w:noWrap w:val="0"/>
            <w:vAlign w:val="top"/>
          </w:tcPr>
          <w:p w14:paraId="1FDAFEC7">
            <w:pPr>
              <w:ind w:firstLine="480"/>
              <w:jc w:val="center"/>
              <w:rPr>
                <w:rFonts w:hint="eastAsia" w:ascii="宋体" w:hAnsi="宋体"/>
                <w:color w:val="auto"/>
                <w:sz w:val="21"/>
                <w:szCs w:val="21"/>
                <w:highlight w:val="none"/>
              </w:rPr>
            </w:pPr>
          </w:p>
        </w:tc>
        <w:tc>
          <w:tcPr>
            <w:tcW w:w="966" w:type="dxa"/>
            <w:tcBorders>
              <w:top w:val="single" w:color="auto" w:sz="4" w:space="0"/>
              <w:left w:val="single" w:color="auto" w:sz="4" w:space="0"/>
              <w:bottom w:val="single" w:color="000000" w:sz="2" w:space="0"/>
              <w:right w:val="single" w:color="auto" w:sz="4" w:space="0"/>
            </w:tcBorders>
            <w:noWrap w:val="0"/>
            <w:vAlign w:val="center"/>
          </w:tcPr>
          <w:p w14:paraId="2DB0A60C">
            <w:pPr>
              <w:ind w:firstLine="480"/>
              <w:jc w:val="center"/>
              <w:rPr>
                <w:rFonts w:hint="eastAsia" w:ascii="宋体" w:hAnsi="宋体"/>
                <w:color w:val="auto"/>
                <w:sz w:val="21"/>
                <w:szCs w:val="21"/>
                <w:highlight w:val="none"/>
              </w:rPr>
            </w:pPr>
          </w:p>
        </w:tc>
        <w:tc>
          <w:tcPr>
            <w:tcW w:w="2409" w:type="dxa"/>
            <w:tcBorders>
              <w:top w:val="single" w:color="auto" w:sz="4" w:space="0"/>
              <w:left w:val="single" w:color="auto" w:sz="4" w:space="0"/>
              <w:bottom w:val="single" w:color="000000" w:sz="2" w:space="0"/>
              <w:right w:val="single" w:color="000000" w:sz="2" w:space="0"/>
            </w:tcBorders>
            <w:noWrap w:val="0"/>
            <w:vAlign w:val="center"/>
          </w:tcPr>
          <w:p w14:paraId="22547BB3">
            <w:pPr>
              <w:ind w:firstLine="480"/>
              <w:jc w:val="center"/>
              <w:rPr>
                <w:rFonts w:hint="eastAsia" w:ascii="宋体" w:hAnsi="宋体"/>
                <w:color w:val="auto"/>
                <w:sz w:val="21"/>
                <w:szCs w:val="21"/>
                <w:highlight w:val="none"/>
              </w:rPr>
            </w:pPr>
          </w:p>
        </w:tc>
        <w:tc>
          <w:tcPr>
            <w:tcW w:w="1890" w:type="dxa"/>
            <w:tcBorders>
              <w:top w:val="single" w:color="auto" w:sz="4" w:space="0"/>
              <w:left w:val="single" w:color="auto" w:sz="4" w:space="0"/>
              <w:bottom w:val="single" w:color="000000" w:sz="2" w:space="0"/>
              <w:right w:val="single" w:color="000000" w:sz="2" w:space="0"/>
            </w:tcBorders>
            <w:noWrap w:val="0"/>
            <w:vAlign w:val="center"/>
          </w:tcPr>
          <w:p w14:paraId="5A83B515">
            <w:pPr>
              <w:ind w:firstLine="480"/>
              <w:jc w:val="center"/>
              <w:rPr>
                <w:rFonts w:hint="eastAsia" w:ascii="宋体" w:hAnsi="宋体"/>
                <w:color w:val="auto"/>
                <w:sz w:val="21"/>
                <w:szCs w:val="21"/>
                <w:highlight w:val="none"/>
              </w:rPr>
            </w:pPr>
          </w:p>
        </w:tc>
      </w:tr>
    </w:tbl>
    <w:p w14:paraId="131098B2">
      <w:pPr>
        <w:spacing w:line="360" w:lineRule="auto"/>
        <w:ind w:firstLine="480"/>
        <w:rPr>
          <w:rFonts w:hint="eastAsia" w:ascii="宋体" w:hAnsi="宋体"/>
          <w:color w:val="auto"/>
          <w:sz w:val="21"/>
          <w:szCs w:val="21"/>
          <w:highlight w:val="none"/>
        </w:rPr>
      </w:pPr>
      <w:r>
        <w:rPr>
          <w:rFonts w:hint="eastAsia" w:ascii="宋体" w:hAnsi="宋体"/>
          <w:color w:val="auto"/>
          <w:sz w:val="21"/>
          <w:szCs w:val="21"/>
          <w:highlight w:val="none"/>
        </w:rPr>
        <w:t>注</w:t>
      </w:r>
      <w:r>
        <w:rPr>
          <w:rFonts w:hint="eastAsia" w:ascii="宋体" w:hAnsi="宋体"/>
          <w:color w:val="auto"/>
          <w:sz w:val="21"/>
          <w:szCs w:val="21"/>
          <w:highlight w:val="none"/>
          <w:lang w:eastAsia="zh-CN"/>
        </w:rPr>
        <w:t>：</w:t>
      </w:r>
      <w:r>
        <w:rPr>
          <w:rFonts w:hint="eastAsia" w:ascii="宋体" w:hAnsi="宋体"/>
          <w:color w:val="auto"/>
          <w:sz w:val="21"/>
          <w:szCs w:val="21"/>
          <w:highlight w:val="none"/>
        </w:rPr>
        <w:t>1.根据招标文件及评分标准相关要求填写，并提供相关的证明材料；</w:t>
      </w:r>
    </w:p>
    <w:p w14:paraId="53171DCE">
      <w:pPr>
        <w:spacing w:line="360" w:lineRule="auto"/>
        <w:ind w:firstLine="480"/>
        <w:rPr>
          <w:rFonts w:ascii="宋体" w:hAnsi="宋体"/>
          <w:color w:val="auto"/>
          <w:sz w:val="21"/>
          <w:szCs w:val="21"/>
          <w:highlight w:val="none"/>
        </w:rPr>
      </w:pPr>
      <w:r>
        <w:rPr>
          <w:rFonts w:hint="eastAsia" w:ascii="宋体" w:hAnsi="宋体"/>
          <w:color w:val="auto"/>
          <w:sz w:val="21"/>
          <w:szCs w:val="21"/>
          <w:highlight w:val="none"/>
        </w:rPr>
        <w:t>2.以上人员工资、社保须根据劳动法和</w:t>
      </w:r>
      <w:r>
        <w:rPr>
          <w:rFonts w:hint="eastAsia" w:ascii="宋体" w:hAnsi="宋体"/>
          <w:color w:val="auto"/>
          <w:sz w:val="21"/>
          <w:szCs w:val="21"/>
          <w:highlight w:val="none"/>
          <w:lang w:val="en-US" w:eastAsia="zh-CN"/>
        </w:rPr>
        <w:t>盐城市</w:t>
      </w:r>
      <w:r>
        <w:rPr>
          <w:rFonts w:hint="eastAsia" w:ascii="宋体" w:hAnsi="宋体"/>
          <w:color w:val="auto"/>
          <w:sz w:val="21"/>
          <w:szCs w:val="21"/>
          <w:highlight w:val="none"/>
        </w:rPr>
        <w:t>相关要求缴纳；</w:t>
      </w:r>
    </w:p>
    <w:p w14:paraId="577D291C">
      <w:pPr>
        <w:spacing w:line="360" w:lineRule="auto"/>
        <w:ind w:firstLine="480"/>
        <w:rPr>
          <w:rFonts w:hint="eastAsia" w:ascii="宋体" w:hAnsi="宋体"/>
          <w:color w:val="auto"/>
          <w:sz w:val="21"/>
          <w:szCs w:val="21"/>
          <w:highlight w:val="none"/>
          <w:lang w:eastAsia="zh-CN"/>
        </w:rPr>
      </w:pPr>
      <w:r>
        <w:rPr>
          <w:rFonts w:hint="eastAsia" w:ascii="宋体" w:hAnsi="宋体"/>
          <w:color w:val="auto"/>
          <w:sz w:val="21"/>
          <w:szCs w:val="21"/>
          <w:highlight w:val="none"/>
        </w:rPr>
        <w:t>3.表格不够填写可添加</w:t>
      </w:r>
      <w:r>
        <w:rPr>
          <w:rFonts w:hint="eastAsia" w:ascii="宋体" w:hAnsi="宋体"/>
          <w:color w:val="auto"/>
          <w:sz w:val="21"/>
          <w:szCs w:val="21"/>
          <w:highlight w:val="none"/>
          <w:lang w:eastAsia="zh-CN"/>
        </w:rPr>
        <w:t>。</w:t>
      </w:r>
    </w:p>
    <w:p w14:paraId="1A4CBE4E">
      <w:pPr>
        <w:spacing w:line="360" w:lineRule="auto"/>
        <w:ind w:firstLine="480"/>
        <w:rPr>
          <w:rFonts w:hint="eastAsia" w:ascii="宋体" w:hAnsi="宋体"/>
          <w:color w:val="auto"/>
          <w:sz w:val="21"/>
          <w:szCs w:val="21"/>
          <w:highlight w:val="none"/>
          <w:lang w:eastAsia="zh-CN"/>
        </w:rPr>
      </w:pPr>
    </w:p>
    <w:p w14:paraId="1D535D68">
      <w:pPr>
        <w:jc w:val="center"/>
        <w:rPr>
          <w:rFonts w:hint="eastAsia" w:ascii="宋体" w:hAnsi="宋体"/>
          <w:color w:val="auto"/>
          <w:sz w:val="21"/>
          <w:szCs w:val="21"/>
          <w:highlight w:val="none"/>
          <w:lang w:eastAsia="zh-CN"/>
        </w:rPr>
      </w:pPr>
      <w:r>
        <w:rPr>
          <w:rFonts w:hint="eastAsia"/>
          <w:b/>
          <w:bCs/>
          <w:color w:val="auto"/>
          <w:sz w:val="28"/>
          <w:szCs w:val="28"/>
          <w:highlight w:val="none"/>
        </w:rPr>
        <w:t>拟投入的全自动打捞保洁船、</w:t>
      </w:r>
      <w:r>
        <w:rPr>
          <w:rFonts w:hint="eastAsia" w:cs="Times New Roman"/>
          <w:b/>
          <w:bCs/>
          <w:color w:val="auto"/>
          <w:sz w:val="28"/>
          <w:szCs w:val="28"/>
          <w:highlight w:val="none"/>
          <w:lang w:eastAsia="zh-CN"/>
        </w:rPr>
        <w:t>挖掘机</w:t>
      </w:r>
      <w:r>
        <w:rPr>
          <w:rFonts w:hint="eastAsia" w:cs="Times New Roman"/>
          <w:b/>
          <w:bCs/>
          <w:color w:val="auto"/>
          <w:sz w:val="28"/>
          <w:szCs w:val="28"/>
          <w:highlight w:val="none"/>
          <w:lang w:val="en-US" w:eastAsia="zh-CN"/>
        </w:rPr>
        <w:t>等设备</w:t>
      </w:r>
      <w:r>
        <w:rPr>
          <w:rFonts w:hint="eastAsia"/>
          <w:b/>
          <w:bCs/>
          <w:color w:val="auto"/>
          <w:sz w:val="28"/>
          <w:szCs w:val="28"/>
          <w:highlight w:val="none"/>
        </w:rPr>
        <w:t>一览表</w:t>
      </w:r>
    </w:p>
    <w:tbl>
      <w:tblPr>
        <w:tblStyle w:val="16"/>
        <w:tblW w:w="99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47"/>
        <w:gridCol w:w="1260"/>
        <w:gridCol w:w="1307"/>
        <w:gridCol w:w="4892"/>
        <w:gridCol w:w="1890"/>
      </w:tblGrid>
      <w:tr w14:paraId="082FA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000000" w:sz="2" w:space="0"/>
              <w:left w:val="single" w:color="000000" w:sz="2" w:space="0"/>
              <w:bottom w:val="single" w:color="000000" w:sz="2" w:space="0"/>
              <w:right w:val="single" w:color="000000" w:sz="2" w:space="0"/>
            </w:tcBorders>
            <w:noWrap w:val="0"/>
            <w:vAlign w:val="center"/>
          </w:tcPr>
          <w:p w14:paraId="405FE68D">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序号</w:t>
            </w:r>
          </w:p>
        </w:tc>
        <w:tc>
          <w:tcPr>
            <w:tcW w:w="1260" w:type="dxa"/>
            <w:tcBorders>
              <w:top w:val="single" w:color="000000" w:sz="2" w:space="0"/>
              <w:left w:val="single" w:color="auto" w:sz="4" w:space="0"/>
              <w:bottom w:val="single" w:color="000000" w:sz="2" w:space="0"/>
              <w:right w:val="single" w:color="auto" w:sz="4" w:space="0"/>
            </w:tcBorders>
            <w:noWrap w:val="0"/>
            <w:vAlign w:val="center"/>
          </w:tcPr>
          <w:p w14:paraId="031A0344">
            <w:pPr>
              <w:jc w:val="center"/>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设备名称</w:t>
            </w:r>
          </w:p>
        </w:tc>
        <w:tc>
          <w:tcPr>
            <w:tcW w:w="1307" w:type="dxa"/>
            <w:tcBorders>
              <w:top w:val="single" w:color="000000" w:sz="2" w:space="0"/>
              <w:left w:val="single" w:color="auto" w:sz="4" w:space="0"/>
              <w:bottom w:val="single" w:color="000000" w:sz="2" w:space="0"/>
              <w:right w:val="single" w:color="auto" w:sz="4" w:space="0"/>
            </w:tcBorders>
            <w:noWrap w:val="0"/>
            <w:vAlign w:val="center"/>
          </w:tcPr>
          <w:p w14:paraId="59FC227A">
            <w:pPr>
              <w:ind w:firstLine="482"/>
              <w:jc w:val="both"/>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数量</w:t>
            </w:r>
          </w:p>
        </w:tc>
        <w:tc>
          <w:tcPr>
            <w:tcW w:w="4892" w:type="dxa"/>
            <w:tcBorders>
              <w:top w:val="single" w:color="000000" w:sz="2" w:space="0"/>
              <w:left w:val="single" w:color="auto" w:sz="4" w:space="0"/>
              <w:bottom w:val="single" w:color="000000" w:sz="2" w:space="0"/>
              <w:right w:val="single" w:color="000000" w:sz="2" w:space="0"/>
            </w:tcBorders>
            <w:noWrap w:val="0"/>
            <w:vAlign w:val="center"/>
          </w:tcPr>
          <w:p w14:paraId="3C2BF765">
            <w:pPr>
              <w:ind w:firstLine="482"/>
              <w:jc w:val="center"/>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发动机编号</w:t>
            </w:r>
          </w:p>
        </w:tc>
        <w:tc>
          <w:tcPr>
            <w:tcW w:w="1890" w:type="dxa"/>
            <w:tcBorders>
              <w:top w:val="single" w:color="000000" w:sz="2" w:space="0"/>
              <w:left w:val="single" w:color="auto" w:sz="4" w:space="0"/>
              <w:bottom w:val="single" w:color="000000" w:sz="2" w:space="0"/>
              <w:right w:val="single" w:color="000000" w:sz="2" w:space="0"/>
            </w:tcBorders>
            <w:noWrap w:val="0"/>
            <w:vAlign w:val="center"/>
          </w:tcPr>
          <w:p w14:paraId="40F76602">
            <w:pPr>
              <w:ind w:firstLine="482"/>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备  注</w:t>
            </w:r>
          </w:p>
        </w:tc>
      </w:tr>
      <w:tr w14:paraId="0FC5A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noWrap w:val="0"/>
            <w:vAlign w:val="center"/>
          </w:tcPr>
          <w:p w14:paraId="4757AD9B">
            <w:pPr>
              <w:ind w:firstLine="21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260" w:type="dxa"/>
            <w:tcBorders>
              <w:top w:val="single" w:color="auto" w:sz="4" w:space="0"/>
              <w:left w:val="single" w:color="auto" w:sz="4" w:space="0"/>
              <w:bottom w:val="single" w:color="000000" w:sz="2" w:space="0"/>
              <w:right w:val="single" w:color="auto" w:sz="4" w:space="0"/>
            </w:tcBorders>
            <w:noWrap w:val="0"/>
            <w:vAlign w:val="center"/>
          </w:tcPr>
          <w:p w14:paraId="257B08E2">
            <w:pPr>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rPr>
              <w:t>全自动打捞保洁船</w:t>
            </w:r>
          </w:p>
        </w:tc>
        <w:tc>
          <w:tcPr>
            <w:tcW w:w="1307" w:type="dxa"/>
            <w:tcBorders>
              <w:top w:val="single" w:color="auto" w:sz="4" w:space="0"/>
              <w:left w:val="single" w:color="auto" w:sz="4" w:space="0"/>
              <w:bottom w:val="single" w:color="000000" w:sz="2" w:space="0"/>
              <w:right w:val="single" w:color="auto" w:sz="4" w:space="0"/>
            </w:tcBorders>
            <w:noWrap w:val="0"/>
            <w:vAlign w:val="center"/>
          </w:tcPr>
          <w:p w14:paraId="4F4EAD5D">
            <w:pPr>
              <w:ind w:firstLine="480"/>
              <w:jc w:val="center"/>
              <w:rPr>
                <w:rFonts w:hint="eastAsia" w:ascii="宋体" w:hAnsi="宋体" w:eastAsia="宋体" w:cs="宋体"/>
                <w:color w:val="auto"/>
                <w:sz w:val="21"/>
                <w:szCs w:val="21"/>
                <w:highlight w:val="none"/>
              </w:rPr>
            </w:pPr>
          </w:p>
        </w:tc>
        <w:tc>
          <w:tcPr>
            <w:tcW w:w="4892" w:type="dxa"/>
            <w:tcBorders>
              <w:top w:val="single" w:color="auto" w:sz="4" w:space="0"/>
              <w:left w:val="single" w:color="auto" w:sz="4" w:space="0"/>
              <w:bottom w:val="single" w:color="000000" w:sz="2" w:space="0"/>
              <w:right w:val="single" w:color="000000" w:sz="2" w:space="0"/>
            </w:tcBorders>
            <w:noWrap w:val="0"/>
            <w:vAlign w:val="center"/>
          </w:tcPr>
          <w:p w14:paraId="2B23955F">
            <w:pPr>
              <w:ind w:firstLine="480"/>
              <w:jc w:val="center"/>
              <w:rPr>
                <w:rFonts w:hint="eastAsia" w:ascii="宋体" w:hAnsi="宋体" w:eastAsia="宋体" w:cs="宋体"/>
                <w:color w:val="auto"/>
                <w:sz w:val="21"/>
                <w:szCs w:val="21"/>
                <w:highlight w:val="none"/>
              </w:rPr>
            </w:pPr>
          </w:p>
        </w:tc>
        <w:tc>
          <w:tcPr>
            <w:tcW w:w="1890" w:type="dxa"/>
            <w:tcBorders>
              <w:top w:val="single" w:color="auto" w:sz="4" w:space="0"/>
              <w:left w:val="single" w:color="auto" w:sz="4" w:space="0"/>
              <w:bottom w:val="single" w:color="000000" w:sz="2" w:space="0"/>
              <w:right w:val="single" w:color="000000" w:sz="2" w:space="0"/>
            </w:tcBorders>
            <w:noWrap w:val="0"/>
            <w:vAlign w:val="center"/>
          </w:tcPr>
          <w:p w14:paraId="460A6096">
            <w:pPr>
              <w:ind w:firstLine="480"/>
              <w:jc w:val="center"/>
              <w:rPr>
                <w:rFonts w:hint="eastAsia" w:ascii="宋体" w:hAnsi="宋体" w:eastAsia="宋体" w:cs="宋体"/>
                <w:color w:val="auto"/>
                <w:sz w:val="21"/>
                <w:szCs w:val="21"/>
                <w:highlight w:val="none"/>
              </w:rPr>
            </w:pPr>
          </w:p>
        </w:tc>
      </w:tr>
      <w:tr w14:paraId="23CCE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noWrap w:val="0"/>
            <w:vAlign w:val="center"/>
          </w:tcPr>
          <w:p w14:paraId="7AE917FD">
            <w:pPr>
              <w:ind w:firstLine="21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260" w:type="dxa"/>
            <w:tcBorders>
              <w:top w:val="single" w:color="auto" w:sz="4" w:space="0"/>
              <w:left w:val="single" w:color="auto" w:sz="4" w:space="0"/>
              <w:bottom w:val="single" w:color="000000" w:sz="2" w:space="0"/>
              <w:right w:val="single" w:color="auto" w:sz="4" w:space="0"/>
            </w:tcBorders>
            <w:noWrap w:val="0"/>
            <w:vAlign w:val="center"/>
          </w:tcPr>
          <w:p w14:paraId="1825EDD1">
            <w:pPr>
              <w:jc w:val="center"/>
              <w:rPr>
                <w:rFonts w:hint="eastAsia" w:ascii="宋体" w:hAnsi="宋体" w:eastAsia="宋体" w:cs="宋体"/>
                <w:color w:val="auto"/>
                <w:sz w:val="21"/>
                <w:szCs w:val="21"/>
                <w:highlight w:val="none"/>
                <w:lang w:eastAsia="zh-CN"/>
              </w:rPr>
            </w:pPr>
            <w:r>
              <w:rPr>
                <w:rFonts w:hint="eastAsia" w:ascii="宋体" w:hAnsi="宋体" w:cs="宋体"/>
                <w:b/>
                <w:bCs/>
                <w:color w:val="auto"/>
                <w:sz w:val="21"/>
                <w:szCs w:val="21"/>
                <w:highlight w:val="none"/>
                <w:lang w:val="en-US" w:eastAsia="zh-CN"/>
              </w:rPr>
              <w:t>挖掘机</w:t>
            </w:r>
          </w:p>
        </w:tc>
        <w:tc>
          <w:tcPr>
            <w:tcW w:w="1307" w:type="dxa"/>
            <w:tcBorders>
              <w:top w:val="single" w:color="auto" w:sz="4" w:space="0"/>
              <w:left w:val="single" w:color="auto" w:sz="4" w:space="0"/>
              <w:bottom w:val="single" w:color="000000" w:sz="2" w:space="0"/>
              <w:right w:val="single" w:color="auto" w:sz="4" w:space="0"/>
            </w:tcBorders>
            <w:noWrap w:val="0"/>
            <w:vAlign w:val="center"/>
          </w:tcPr>
          <w:p w14:paraId="7143A462">
            <w:pPr>
              <w:ind w:firstLine="480"/>
              <w:jc w:val="center"/>
              <w:rPr>
                <w:rFonts w:hint="eastAsia" w:ascii="宋体" w:hAnsi="宋体" w:eastAsia="宋体" w:cs="宋体"/>
                <w:color w:val="auto"/>
                <w:sz w:val="21"/>
                <w:szCs w:val="21"/>
                <w:highlight w:val="none"/>
              </w:rPr>
            </w:pPr>
          </w:p>
        </w:tc>
        <w:tc>
          <w:tcPr>
            <w:tcW w:w="4892" w:type="dxa"/>
            <w:tcBorders>
              <w:top w:val="single" w:color="auto" w:sz="4" w:space="0"/>
              <w:left w:val="single" w:color="auto" w:sz="4" w:space="0"/>
              <w:bottom w:val="single" w:color="000000" w:sz="2" w:space="0"/>
              <w:right w:val="single" w:color="000000" w:sz="2" w:space="0"/>
            </w:tcBorders>
            <w:noWrap w:val="0"/>
            <w:vAlign w:val="center"/>
          </w:tcPr>
          <w:p w14:paraId="027D9026">
            <w:pPr>
              <w:ind w:firstLine="480"/>
              <w:jc w:val="center"/>
              <w:rPr>
                <w:rFonts w:hint="eastAsia" w:ascii="宋体" w:hAnsi="宋体" w:eastAsia="宋体" w:cs="宋体"/>
                <w:color w:val="auto"/>
                <w:sz w:val="21"/>
                <w:szCs w:val="21"/>
                <w:highlight w:val="none"/>
              </w:rPr>
            </w:pPr>
          </w:p>
        </w:tc>
        <w:tc>
          <w:tcPr>
            <w:tcW w:w="1890" w:type="dxa"/>
            <w:tcBorders>
              <w:top w:val="single" w:color="auto" w:sz="4" w:space="0"/>
              <w:left w:val="single" w:color="auto" w:sz="4" w:space="0"/>
              <w:bottom w:val="single" w:color="000000" w:sz="2" w:space="0"/>
              <w:right w:val="single" w:color="000000" w:sz="2" w:space="0"/>
            </w:tcBorders>
            <w:noWrap w:val="0"/>
            <w:vAlign w:val="center"/>
          </w:tcPr>
          <w:p w14:paraId="765AACD4">
            <w:pPr>
              <w:ind w:firstLine="480"/>
              <w:jc w:val="center"/>
              <w:rPr>
                <w:rFonts w:hint="eastAsia" w:ascii="宋体" w:hAnsi="宋体" w:eastAsia="宋体" w:cs="宋体"/>
                <w:color w:val="auto"/>
                <w:sz w:val="21"/>
                <w:szCs w:val="21"/>
                <w:highlight w:val="none"/>
              </w:rPr>
            </w:pPr>
          </w:p>
        </w:tc>
      </w:tr>
      <w:tr w14:paraId="0F2A5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noWrap w:val="0"/>
            <w:vAlign w:val="center"/>
          </w:tcPr>
          <w:p w14:paraId="0398FB18">
            <w:pPr>
              <w:ind w:firstLine="21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1260" w:type="dxa"/>
            <w:tcBorders>
              <w:top w:val="single" w:color="auto" w:sz="4" w:space="0"/>
              <w:left w:val="single" w:color="auto" w:sz="4" w:space="0"/>
              <w:bottom w:val="single" w:color="000000" w:sz="2" w:space="0"/>
              <w:right w:val="single" w:color="auto" w:sz="4" w:space="0"/>
            </w:tcBorders>
            <w:noWrap w:val="0"/>
            <w:vAlign w:val="center"/>
          </w:tcPr>
          <w:p w14:paraId="65B670B0">
            <w:pPr>
              <w:jc w:val="center"/>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eastAsia="zh-CN"/>
              </w:rPr>
              <w:t>运输船</w:t>
            </w:r>
            <w:r>
              <w:rPr>
                <w:rFonts w:hint="eastAsia" w:ascii="宋体" w:hAnsi="宋体" w:cs="宋体"/>
                <w:b/>
                <w:bCs/>
                <w:color w:val="auto"/>
                <w:sz w:val="21"/>
                <w:szCs w:val="21"/>
                <w:highlight w:val="none"/>
                <w:lang w:eastAsia="zh-CN"/>
              </w:rPr>
              <w:t>（</w:t>
            </w:r>
            <w:r>
              <w:rPr>
                <w:rFonts w:hint="eastAsia" w:ascii="宋体" w:hAnsi="宋体" w:cs="宋体"/>
                <w:b/>
                <w:bCs/>
                <w:color w:val="auto"/>
                <w:sz w:val="21"/>
                <w:szCs w:val="21"/>
                <w:highlight w:val="none"/>
                <w:lang w:val="en-US" w:eastAsia="zh-CN"/>
              </w:rPr>
              <w:t>如有</w:t>
            </w:r>
            <w:r>
              <w:rPr>
                <w:rFonts w:hint="eastAsia" w:ascii="宋体" w:hAnsi="宋体" w:cs="宋体"/>
                <w:b/>
                <w:bCs/>
                <w:color w:val="auto"/>
                <w:sz w:val="21"/>
                <w:szCs w:val="21"/>
                <w:highlight w:val="none"/>
                <w:lang w:eastAsia="zh-CN"/>
              </w:rPr>
              <w:t>）</w:t>
            </w:r>
          </w:p>
        </w:tc>
        <w:tc>
          <w:tcPr>
            <w:tcW w:w="1307" w:type="dxa"/>
            <w:tcBorders>
              <w:top w:val="single" w:color="auto" w:sz="4" w:space="0"/>
              <w:left w:val="single" w:color="auto" w:sz="4" w:space="0"/>
              <w:bottom w:val="single" w:color="000000" w:sz="2" w:space="0"/>
              <w:right w:val="single" w:color="auto" w:sz="4" w:space="0"/>
            </w:tcBorders>
            <w:noWrap w:val="0"/>
            <w:vAlign w:val="center"/>
          </w:tcPr>
          <w:p w14:paraId="3FDBA7B8">
            <w:pPr>
              <w:ind w:firstLine="480"/>
              <w:jc w:val="center"/>
              <w:rPr>
                <w:rFonts w:hint="eastAsia" w:ascii="宋体" w:hAnsi="宋体" w:eastAsia="宋体" w:cs="宋体"/>
                <w:color w:val="auto"/>
                <w:sz w:val="21"/>
                <w:szCs w:val="21"/>
                <w:highlight w:val="none"/>
              </w:rPr>
            </w:pPr>
          </w:p>
        </w:tc>
        <w:tc>
          <w:tcPr>
            <w:tcW w:w="4892" w:type="dxa"/>
            <w:tcBorders>
              <w:top w:val="single" w:color="auto" w:sz="4" w:space="0"/>
              <w:left w:val="single" w:color="auto" w:sz="4" w:space="0"/>
              <w:bottom w:val="single" w:color="000000" w:sz="2" w:space="0"/>
              <w:right w:val="single" w:color="000000" w:sz="2" w:space="0"/>
            </w:tcBorders>
            <w:noWrap w:val="0"/>
            <w:vAlign w:val="center"/>
          </w:tcPr>
          <w:p w14:paraId="3183AC94">
            <w:pPr>
              <w:ind w:firstLine="480"/>
              <w:jc w:val="center"/>
              <w:rPr>
                <w:rFonts w:hint="eastAsia" w:ascii="宋体" w:hAnsi="宋体" w:eastAsia="宋体" w:cs="宋体"/>
                <w:color w:val="auto"/>
                <w:sz w:val="21"/>
                <w:szCs w:val="21"/>
                <w:highlight w:val="none"/>
              </w:rPr>
            </w:pPr>
          </w:p>
        </w:tc>
        <w:tc>
          <w:tcPr>
            <w:tcW w:w="1890" w:type="dxa"/>
            <w:tcBorders>
              <w:top w:val="single" w:color="auto" w:sz="4" w:space="0"/>
              <w:left w:val="single" w:color="auto" w:sz="4" w:space="0"/>
              <w:bottom w:val="single" w:color="000000" w:sz="2" w:space="0"/>
              <w:right w:val="single" w:color="000000" w:sz="2" w:space="0"/>
            </w:tcBorders>
            <w:noWrap w:val="0"/>
            <w:vAlign w:val="center"/>
          </w:tcPr>
          <w:p w14:paraId="63746AF1">
            <w:pPr>
              <w:ind w:firstLine="480"/>
              <w:jc w:val="center"/>
              <w:rPr>
                <w:rFonts w:hint="eastAsia" w:ascii="宋体" w:hAnsi="宋体" w:eastAsia="宋体" w:cs="宋体"/>
                <w:color w:val="auto"/>
                <w:sz w:val="21"/>
                <w:szCs w:val="21"/>
                <w:highlight w:val="none"/>
              </w:rPr>
            </w:pPr>
          </w:p>
        </w:tc>
      </w:tr>
      <w:tr w14:paraId="37D5D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noWrap w:val="0"/>
            <w:vAlign w:val="center"/>
          </w:tcPr>
          <w:p w14:paraId="720F327B">
            <w:pPr>
              <w:ind w:firstLine="21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1260" w:type="dxa"/>
            <w:tcBorders>
              <w:top w:val="single" w:color="auto" w:sz="4" w:space="0"/>
              <w:left w:val="single" w:color="auto" w:sz="4" w:space="0"/>
              <w:bottom w:val="single" w:color="000000" w:sz="2" w:space="0"/>
              <w:right w:val="single" w:color="auto" w:sz="4" w:space="0"/>
            </w:tcBorders>
            <w:noWrap w:val="0"/>
            <w:vAlign w:val="top"/>
          </w:tcPr>
          <w:p w14:paraId="4B3E1D73">
            <w:pPr>
              <w:jc w:val="center"/>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拖网小艇（如有）</w:t>
            </w:r>
          </w:p>
        </w:tc>
        <w:tc>
          <w:tcPr>
            <w:tcW w:w="1307" w:type="dxa"/>
            <w:tcBorders>
              <w:top w:val="single" w:color="auto" w:sz="4" w:space="0"/>
              <w:left w:val="single" w:color="auto" w:sz="4" w:space="0"/>
              <w:bottom w:val="single" w:color="000000" w:sz="2" w:space="0"/>
              <w:right w:val="single" w:color="auto" w:sz="4" w:space="0"/>
            </w:tcBorders>
            <w:noWrap w:val="0"/>
            <w:vAlign w:val="center"/>
          </w:tcPr>
          <w:p w14:paraId="520A4DF1">
            <w:pPr>
              <w:ind w:firstLine="480"/>
              <w:jc w:val="center"/>
              <w:rPr>
                <w:rFonts w:hint="eastAsia" w:ascii="宋体" w:hAnsi="宋体" w:eastAsia="宋体" w:cs="宋体"/>
                <w:color w:val="auto"/>
                <w:sz w:val="21"/>
                <w:szCs w:val="21"/>
                <w:highlight w:val="none"/>
              </w:rPr>
            </w:pPr>
          </w:p>
        </w:tc>
        <w:tc>
          <w:tcPr>
            <w:tcW w:w="4892" w:type="dxa"/>
            <w:tcBorders>
              <w:top w:val="single" w:color="auto" w:sz="4" w:space="0"/>
              <w:left w:val="single" w:color="auto" w:sz="4" w:space="0"/>
              <w:bottom w:val="single" w:color="000000" w:sz="2" w:space="0"/>
              <w:right w:val="single" w:color="000000" w:sz="2" w:space="0"/>
            </w:tcBorders>
            <w:noWrap w:val="0"/>
            <w:vAlign w:val="center"/>
          </w:tcPr>
          <w:p w14:paraId="31E70B27">
            <w:pPr>
              <w:ind w:firstLine="480"/>
              <w:jc w:val="center"/>
              <w:rPr>
                <w:rFonts w:hint="eastAsia" w:ascii="宋体" w:hAnsi="宋体" w:eastAsia="宋体" w:cs="宋体"/>
                <w:color w:val="auto"/>
                <w:sz w:val="21"/>
                <w:szCs w:val="21"/>
                <w:highlight w:val="none"/>
              </w:rPr>
            </w:pPr>
          </w:p>
        </w:tc>
        <w:tc>
          <w:tcPr>
            <w:tcW w:w="1890" w:type="dxa"/>
            <w:tcBorders>
              <w:top w:val="single" w:color="auto" w:sz="4" w:space="0"/>
              <w:left w:val="single" w:color="auto" w:sz="4" w:space="0"/>
              <w:bottom w:val="single" w:color="000000" w:sz="2" w:space="0"/>
              <w:right w:val="single" w:color="000000" w:sz="2" w:space="0"/>
            </w:tcBorders>
            <w:noWrap w:val="0"/>
            <w:vAlign w:val="center"/>
          </w:tcPr>
          <w:p w14:paraId="655B03A1">
            <w:pPr>
              <w:ind w:firstLine="480"/>
              <w:jc w:val="center"/>
              <w:rPr>
                <w:rFonts w:hint="eastAsia" w:ascii="宋体" w:hAnsi="宋体" w:eastAsia="宋体" w:cs="宋体"/>
                <w:color w:val="auto"/>
                <w:sz w:val="21"/>
                <w:szCs w:val="21"/>
                <w:highlight w:val="none"/>
              </w:rPr>
            </w:pPr>
          </w:p>
        </w:tc>
      </w:tr>
      <w:tr w14:paraId="6C539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4" w:hRule="atLeast"/>
          <w:jc w:val="center"/>
        </w:trPr>
        <w:tc>
          <w:tcPr>
            <w:tcW w:w="647" w:type="dxa"/>
            <w:tcBorders>
              <w:top w:val="single" w:color="auto" w:sz="4" w:space="0"/>
              <w:left w:val="single" w:color="000000" w:sz="2" w:space="0"/>
              <w:bottom w:val="single" w:color="000000" w:sz="2" w:space="0"/>
              <w:right w:val="single" w:color="000000" w:sz="2" w:space="0"/>
            </w:tcBorders>
            <w:noWrap w:val="0"/>
            <w:vAlign w:val="center"/>
          </w:tcPr>
          <w:p w14:paraId="561744BE">
            <w:pPr>
              <w:ind w:firstLine="21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1260" w:type="dxa"/>
            <w:tcBorders>
              <w:top w:val="single" w:color="auto" w:sz="4" w:space="0"/>
              <w:left w:val="single" w:color="auto" w:sz="4" w:space="0"/>
              <w:bottom w:val="single" w:color="000000" w:sz="2" w:space="0"/>
              <w:right w:val="single" w:color="auto" w:sz="4" w:space="0"/>
            </w:tcBorders>
            <w:noWrap w:val="0"/>
            <w:vAlign w:val="top"/>
          </w:tcPr>
          <w:p w14:paraId="13467DE5">
            <w:pPr>
              <w:jc w:val="both"/>
              <w:rPr>
                <w:rFonts w:hint="eastAsia" w:ascii="宋体" w:hAnsi="宋体" w:eastAsia="宋体" w:cs="宋体"/>
                <w:color w:val="auto"/>
                <w:sz w:val="21"/>
                <w:szCs w:val="21"/>
                <w:highlight w:val="none"/>
              </w:rPr>
            </w:pPr>
          </w:p>
        </w:tc>
        <w:tc>
          <w:tcPr>
            <w:tcW w:w="1307" w:type="dxa"/>
            <w:tcBorders>
              <w:top w:val="single" w:color="auto" w:sz="4" w:space="0"/>
              <w:left w:val="single" w:color="auto" w:sz="4" w:space="0"/>
              <w:bottom w:val="single" w:color="000000" w:sz="2" w:space="0"/>
              <w:right w:val="single" w:color="auto" w:sz="4" w:space="0"/>
            </w:tcBorders>
            <w:noWrap w:val="0"/>
            <w:vAlign w:val="center"/>
          </w:tcPr>
          <w:p w14:paraId="2DB7E119">
            <w:pPr>
              <w:ind w:firstLine="480"/>
              <w:jc w:val="center"/>
              <w:rPr>
                <w:rFonts w:hint="eastAsia" w:ascii="宋体" w:hAnsi="宋体" w:eastAsia="宋体" w:cs="宋体"/>
                <w:color w:val="auto"/>
                <w:sz w:val="21"/>
                <w:szCs w:val="21"/>
                <w:highlight w:val="none"/>
              </w:rPr>
            </w:pPr>
          </w:p>
        </w:tc>
        <w:tc>
          <w:tcPr>
            <w:tcW w:w="4892" w:type="dxa"/>
            <w:tcBorders>
              <w:top w:val="single" w:color="auto" w:sz="4" w:space="0"/>
              <w:left w:val="single" w:color="auto" w:sz="4" w:space="0"/>
              <w:bottom w:val="single" w:color="000000" w:sz="2" w:space="0"/>
              <w:right w:val="single" w:color="000000" w:sz="2" w:space="0"/>
            </w:tcBorders>
            <w:noWrap w:val="0"/>
            <w:vAlign w:val="center"/>
          </w:tcPr>
          <w:p w14:paraId="76C8F6BB">
            <w:pPr>
              <w:ind w:firstLine="480"/>
              <w:jc w:val="center"/>
              <w:rPr>
                <w:rFonts w:hint="eastAsia" w:ascii="宋体" w:hAnsi="宋体" w:eastAsia="宋体" w:cs="宋体"/>
                <w:color w:val="auto"/>
                <w:sz w:val="21"/>
                <w:szCs w:val="21"/>
                <w:highlight w:val="none"/>
              </w:rPr>
            </w:pPr>
          </w:p>
        </w:tc>
        <w:tc>
          <w:tcPr>
            <w:tcW w:w="1890" w:type="dxa"/>
            <w:tcBorders>
              <w:top w:val="single" w:color="auto" w:sz="4" w:space="0"/>
              <w:left w:val="single" w:color="auto" w:sz="4" w:space="0"/>
              <w:bottom w:val="single" w:color="000000" w:sz="2" w:space="0"/>
              <w:right w:val="single" w:color="000000" w:sz="2" w:space="0"/>
            </w:tcBorders>
            <w:noWrap w:val="0"/>
            <w:vAlign w:val="center"/>
          </w:tcPr>
          <w:p w14:paraId="499E0047">
            <w:pPr>
              <w:ind w:firstLine="480"/>
              <w:jc w:val="center"/>
              <w:rPr>
                <w:rFonts w:hint="eastAsia" w:ascii="宋体" w:hAnsi="宋体" w:eastAsia="宋体" w:cs="宋体"/>
                <w:color w:val="auto"/>
                <w:sz w:val="21"/>
                <w:szCs w:val="21"/>
                <w:highlight w:val="none"/>
              </w:rPr>
            </w:pPr>
          </w:p>
        </w:tc>
      </w:tr>
      <w:tr w14:paraId="5D8DD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7" w:hRule="atLeast"/>
          <w:jc w:val="center"/>
        </w:trPr>
        <w:tc>
          <w:tcPr>
            <w:tcW w:w="647" w:type="dxa"/>
            <w:tcBorders>
              <w:top w:val="single" w:color="auto" w:sz="4" w:space="0"/>
              <w:left w:val="single" w:color="000000" w:sz="2" w:space="0"/>
              <w:bottom w:val="single" w:color="000000" w:sz="2" w:space="0"/>
              <w:right w:val="single" w:color="000000" w:sz="2" w:space="0"/>
            </w:tcBorders>
            <w:noWrap w:val="0"/>
            <w:vAlign w:val="center"/>
          </w:tcPr>
          <w:p w14:paraId="4545DC2F">
            <w:pPr>
              <w:ind w:firstLine="21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1260" w:type="dxa"/>
            <w:tcBorders>
              <w:top w:val="single" w:color="auto" w:sz="4" w:space="0"/>
              <w:left w:val="single" w:color="auto" w:sz="4" w:space="0"/>
              <w:bottom w:val="single" w:color="000000" w:sz="2" w:space="0"/>
              <w:right w:val="single" w:color="auto" w:sz="4" w:space="0"/>
            </w:tcBorders>
            <w:noWrap w:val="0"/>
            <w:vAlign w:val="top"/>
          </w:tcPr>
          <w:p w14:paraId="665AEEDF">
            <w:pPr>
              <w:ind w:firstLine="480"/>
              <w:jc w:val="center"/>
              <w:rPr>
                <w:rFonts w:hint="eastAsia" w:ascii="宋体" w:hAnsi="宋体" w:eastAsia="宋体" w:cs="宋体"/>
                <w:color w:val="auto"/>
                <w:sz w:val="21"/>
                <w:szCs w:val="21"/>
                <w:highlight w:val="none"/>
              </w:rPr>
            </w:pPr>
          </w:p>
        </w:tc>
        <w:tc>
          <w:tcPr>
            <w:tcW w:w="1307" w:type="dxa"/>
            <w:tcBorders>
              <w:top w:val="single" w:color="auto" w:sz="4" w:space="0"/>
              <w:left w:val="single" w:color="auto" w:sz="4" w:space="0"/>
              <w:bottom w:val="single" w:color="000000" w:sz="2" w:space="0"/>
              <w:right w:val="single" w:color="auto" w:sz="4" w:space="0"/>
            </w:tcBorders>
            <w:noWrap w:val="0"/>
            <w:vAlign w:val="center"/>
          </w:tcPr>
          <w:p w14:paraId="3EEA1DED">
            <w:pPr>
              <w:ind w:firstLine="480"/>
              <w:jc w:val="center"/>
              <w:rPr>
                <w:rFonts w:hint="eastAsia" w:ascii="宋体" w:hAnsi="宋体" w:eastAsia="宋体" w:cs="宋体"/>
                <w:color w:val="auto"/>
                <w:sz w:val="21"/>
                <w:szCs w:val="21"/>
                <w:highlight w:val="none"/>
              </w:rPr>
            </w:pPr>
          </w:p>
        </w:tc>
        <w:tc>
          <w:tcPr>
            <w:tcW w:w="4892" w:type="dxa"/>
            <w:tcBorders>
              <w:top w:val="single" w:color="auto" w:sz="4" w:space="0"/>
              <w:left w:val="single" w:color="auto" w:sz="4" w:space="0"/>
              <w:bottom w:val="single" w:color="000000" w:sz="2" w:space="0"/>
              <w:right w:val="single" w:color="000000" w:sz="2" w:space="0"/>
            </w:tcBorders>
            <w:noWrap w:val="0"/>
            <w:vAlign w:val="center"/>
          </w:tcPr>
          <w:p w14:paraId="69D9ECC2">
            <w:pPr>
              <w:ind w:firstLine="480"/>
              <w:jc w:val="center"/>
              <w:rPr>
                <w:rFonts w:hint="eastAsia" w:ascii="宋体" w:hAnsi="宋体" w:eastAsia="宋体" w:cs="宋体"/>
                <w:color w:val="auto"/>
                <w:sz w:val="21"/>
                <w:szCs w:val="21"/>
                <w:highlight w:val="none"/>
              </w:rPr>
            </w:pPr>
          </w:p>
        </w:tc>
        <w:tc>
          <w:tcPr>
            <w:tcW w:w="1890" w:type="dxa"/>
            <w:tcBorders>
              <w:top w:val="single" w:color="auto" w:sz="4" w:space="0"/>
              <w:left w:val="single" w:color="auto" w:sz="4" w:space="0"/>
              <w:bottom w:val="single" w:color="000000" w:sz="2" w:space="0"/>
              <w:right w:val="single" w:color="000000" w:sz="2" w:space="0"/>
            </w:tcBorders>
            <w:noWrap w:val="0"/>
            <w:vAlign w:val="center"/>
          </w:tcPr>
          <w:p w14:paraId="32036AD4">
            <w:pPr>
              <w:ind w:firstLine="480"/>
              <w:jc w:val="center"/>
              <w:rPr>
                <w:rFonts w:hint="eastAsia" w:ascii="宋体" w:hAnsi="宋体" w:eastAsia="宋体" w:cs="宋体"/>
                <w:color w:val="auto"/>
                <w:sz w:val="21"/>
                <w:szCs w:val="21"/>
                <w:highlight w:val="none"/>
              </w:rPr>
            </w:pPr>
          </w:p>
        </w:tc>
      </w:tr>
      <w:tr w14:paraId="1E33E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noWrap w:val="0"/>
            <w:vAlign w:val="center"/>
          </w:tcPr>
          <w:p w14:paraId="4A3982C9">
            <w:pPr>
              <w:ind w:firstLine="21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1260" w:type="dxa"/>
            <w:tcBorders>
              <w:top w:val="single" w:color="auto" w:sz="4" w:space="0"/>
              <w:left w:val="single" w:color="auto" w:sz="4" w:space="0"/>
              <w:bottom w:val="single" w:color="000000" w:sz="2" w:space="0"/>
              <w:right w:val="single" w:color="auto" w:sz="4" w:space="0"/>
            </w:tcBorders>
            <w:noWrap w:val="0"/>
            <w:vAlign w:val="top"/>
          </w:tcPr>
          <w:p w14:paraId="19E0D81C">
            <w:pPr>
              <w:ind w:firstLine="480"/>
              <w:jc w:val="center"/>
              <w:rPr>
                <w:rFonts w:hint="eastAsia" w:ascii="宋体" w:hAnsi="宋体" w:eastAsia="宋体" w:cs="宋体"/>
                <w:color w:val="auto"/>
                <w:sz w:val="21"/>
                <w:szCs w:val="21"/>
                <w:highlight w:val="none"/>
              </w:rPr>
            </w:pPr>
          </w:p>
        </w:tc>
        <w:tc>
          <w:tcPr>
            <w:tcW w:w="1307" w:type="dxa"/>
            <w:tcBorders>
              <w:top w:val="single" w:color="auto" w:sz="4" w:space="0"/>
              <w:left w:val="single" w:color="auto" w:sz="4" w:space="0"/>
              <w:bottom w:val="single" w:color="000000" w:sz="2" w:space="0"/>
              <w:right w:val="single" w:color="auto" w:sz="4" w:space="0"/>
            </w:tcBorders>
            <w:noWrap w:val="0"/>
            <w:vAlign w:val="center"/>
          </w:tcPr>
          <w:p w14:paraId="6157521D">
            <w:pPr>
              <w:ind w:firstLine="480"/>
              <w:jc w:val="center"/>
              <w:rPr>
                <w:rFonts w:hint="eastAsia" w:ascii="宋体" w:hAnsi="宋体" w:eastAsia="宋体" w:cs="宋体"/>
                <w:color w:val="auto"/>
                <w:sz w:val="21"/>
                <w:szCs w:val="21"/>
                <w:highlight w:val="none"/>
              </w:rPr>
            </w:pPr>
          </w:p>
        </w:tc>
        <w:tc>
          <w:tcPr>
            <w:tcW w:w="4892" w:type="dxa"/>
            <w:tcBorders>
              <w:top w:val="single" w:color="auto" w:sz="4" w:space="0"/>
              <w:left w:val="single" w:color="auto" w:sz="4" w:space="0"/>
              <w:bottom w:val="single" w:color="000000" w:sz="2" w:space="0"/>
              <w:right w:val="single" w:color="000000" w:sz="2" w:space="0"/>
            </w:tcBorders>
            <w:noWrap w:val="0"/>
            <w:vAlign w:val="center"/>
          </w:tcPr>
          <w:p w14:paraId="0C7FD122">
            <w:pPr>
              <w:ind w:firstLine="480"/>
              <w:jc w:val="center"/>
              <w:rPr>
                <w:rFonts w:hint="eastAsia" w:ascii="宋体" w:hAnsi="宋体" w:eastAsia="宋体" w:cs="宋体"/>
                <w:color w:val="auto"/>
                <w:sz w:val="21"/>
                <w:szCs w:val="21"/>
                <w:highlight w:val="none"/>
              </w:rPr>
            </w:pPr>
          </w:p>
        </w:tc>
        <w:tc>
          <w:tcPr>
            <w:tcW w:w="1890" w:type="dxa"/>
            <w:tcBorders>
              <w:top w:val="single" w:color="auto" w:sz="4" w:space="0"/>
              <w:left w:val="single" w:color="auto" w:sz="4" w:space="0"/>
              <w:bottom w:val="single" w:color="000000" w:sz="2" w:space="0"/>
              <w:right w:val="single" w:color="000000" w:sz="2" w:space="0"/>
            </w:tcBorders>
            <w:noWrap w:val="0"/>
            <w:vAlign w:val="center"/>
          </w:tcPr>
          <w:p w14:paraId="042B5AFD">
            <w:pPr>
              <w:ind w:firstLine="480"/>
              <w:jc w:val="center"/>
              <w:rPr>
                <w:rFonts w:hint="eastAsia" w:ascii="宋体" w:hAnsi="宋体" w:eastAsia="宋体" w:cs="宋体"/>
                <w:color w:val="auto"/>
                <w:sz w:val="21"/>
                <w:szCs w:val="21"/>
                <w:highlight w:val="none"/>
              </w:rPr>
            </w:pPr>
          </w:p>
        </w:tc>
      </w:tr>
    </w:tbl>
    <w:p w14:paraId="03B79D8B">
      <w:pPr>
        <w:spacing w:line="360" w:lineRule="auto"/>
        <w:ind w:firstLine="480"/>
        <w:jc w:val="left"/>
        <w:rPr>
          <w:rFonts w:hint="eastAsia" w:ascii="宋体" w:hAnsi="宋体"/>
          <w:color w:val="auto"/>
          <w:sz w:val="21"/>
          <w:szCs w:val="21"/>
          <w:highlight w:val="none"/>
        </w:rPr>
      </w:pPr>
      <w:r>
        <w:rPr>
          <w:rFonts w:hint="eastAsia" w:ascii="宋体" w:hAnsi="宋体"/>
          <w:color w:val="auto"/>
          <w:sz w:val="21"/>
          <w:szCs w:val="21"/>
          <w:highlight w:val="none"/>
        </w:rPr>
        <w:t>注：1.根据招标文件及评分标准相关要求填写，并提供相关的证明材料</w:t>
      </w:r>
      <w:r>
        <w:rPr>
          <w:rFonts w:hint="eastAsia" w:ascii="宋体" w:hAnsi="宋体"/>
          <w:b/>
          <w:bCs/>
          <w:color w:val="auto"/>
          <w:sz w:val="21"/>
          <w:szCs w:val="21"/>
          <w:highlight w:val="none"/>
          <w:lang w:eastAsia="zh-CN"/>
        </w:rPr>
        <w:t>（发动机编号清晰照片）</w:t>
      </w:r>
      <w:r>
        <w:rPr>
          <w:rFonts w:hint="eastAsia" w:ascii="宋体" w:hAnsi="宋体"/>
          <w:color w:val="auto"/>
          <w:sz w:val="21"/>
          <w:szCs w:val="21"/>
          <w:highlight w:val="none"/>
        </w:rPr>
        <w:t>；</w:t>
      </w:r>
    </w:p>
    <w:p w14:paraId="4E43D529">
      <w:pPr>
        <w:numPr>
          <w:ilvl w:val="0"/>
          <w:numId w:val="0"/>
        </w:numPr>
        <w:spacing w:before="50" w:after="50"/>
        <w:rPr>
          <w:rFonts w:hint="eastAsia" w:ascii="黑体" w:eastAsia="黑体"/>
          <w:sz w:val="32"/>
          <w:szCs w:val="32"/>
        </w:rPr>
      </w:pPr>
      <w:r>
        <w:rPr>
          <w:rFonts w:hint="eastAsia" w:ascii="宋体" w:hAnsi="宋体"/>
          <w:color w:val="auto"/>
          <w:sz w:val="21"/>
          <w:szCs w:val="21"/>
          <w:highlight w:val="none"/>
          <w:lang w:val="en-US" w:eastAsia="zh-CN"/>
        </w:rPr>
        <w:t>2.</w:t>
      </w:r>
      <w:r>
        <w:rPr>
          <w:rFonts w:hint="eastAsia" w:ascii="宋体" w:hAnsi="宋体"/>
          <w:color w:val="auto"/>
          <w:sz w:val="21"/>
          <w:szCs w:val="21"/>
          <w:highlight w:val="none"/>
        </w:rPr>
        <w:t>表格不够填写可添加；</w:t>
      </w:r>
    </w:p>
    <w:p w14:paraId="1428D6FD">
      <w:pPr>
        <w:jc w:val="center"/>
        <w:rPr>
          <w:rFonts w:hint="eastAsia"/>
          <w:b/>
          <w:bCs/>
          <w:color w:val="auto"/>
          <w:sz w:val="28"/>
          <w:szCs w:val="28"/>
          <w:highlight w:val="none"/>
        </w:rPr>
      </w:pPr>
      <w:r>
        <w:rPr>
          <w:rFonts w:hint="eastAsia"/>
          <w:b/>
          <w:bCs/>
          <w:color w:val="auto"/>
          <w:sz w:val="28"/>
          <w:szCs w:val="28"/>
          <w:highlight w:val="none"/>
        </w:rPr>
        <w:t>拟投入的配备人员一览表</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47"/>
        <w:gridCol w:w="1260"/>
        <w:gridCol w:w="1205"/>
        <w:gridCol w:w="906"/>
        <w:gridCol w:w="713"/>
        <w:gridCol w:w="966"/>
        <w:gridCol w:w="2409"/>
        <w:gridCol w:w="1890"/>
      </w:tblGrid>
      <w:tr w14:paraId="07F2B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000000" w:sz="2" w:space="0"/>
              <w:left w:val="single" w:color="000000" w:sz="2" w:space="0"/>
              <w:bottom w:val="single" w:color="000000" w:sz="2" w:space="0"/>
              <w:right w:val="single" w:color="000000" w:sz="2" w:space="0"/>
            </w:tcBorders>
            <w:noWrap w:val="0"/>
            <w:vAlign w:val="center"/>
          </w:tcPr>
          <w:p w14:paraId="17BDBBDB">
            <w:pPr>
              <w:jc w:val="center"/>
              <w:rPr>
                <w:rFonts w:hint="eastAsia" w:ascii="宋体" w:hAnsi="宋体"/>
                <w:b/>
                <w:color w:val="auto"/>
                <w:sz w:val="24"/>
                <w:highlight w:val="none"/>
              </w:rPr>
            </w:pPr>
            <w:r>
              <w:rPr>
                <w:rFonts w:hint="eastAsia" w:ascii="宋体" w:hAnsi="宋体"/>
                <w:b/>
                <w:color w:val="auto"/>
                <w:sz w:val="24"/>
                <w:highlight w:val="none"/>
              </w:rPr>
              <w:t>序号</w:t>
            </w:r>
          </w:p>
        </w:tc>
        <w:tc>
          <w:tcPr>
            <w:tcW w:w="1260" w:type="dxa"/>
            <w:tcBorders>
              <w:top w:val="single" w:color="000000" w:sz="2" w:space="0"/>
              <w:left w:val="single" w:color="auto" w:sz="4" w:space="0"/>
              <w:bottom w:val="single" w:color="000000" w:sz="2" w:space="0"/>
              <w:right w:val="single" w:color="auto" w:sz="4" w:space="0"/>
            </w:tcBorders>
            <w:noWrap w:val="0"/>
            <w:vAlign w:val="center"/>
          </w:tcPr>
          <w:p w14:paraId="7AED711A">
            <w:pPr>
              <w:jc w:val="center"/>
              <w:rPr>
                <w:rFonts w:hint="eastAsia" w:ascii="宋体" w:hAnsi="宋体"/>
                <w:b/>
                <w:color w:val="auto"/>
                <w:sz w:val="24"/>
                <w:highlight w:val="none"/>
              </w:rPr>
            </w:pPr>
            <w:r>
              <w:rPr>
                <w:rFonts w:hint="eastAsia" w:ascii="宋体" w:hAnsi="宋体"/>
                <w:b/>
                <w:color w:val="auto"/>
                <w:sz w:val="24"/>
                <w:highlight w:val="none"/>
              </w:rPr>
              <w:t>岗位</w:t>
            </w:r>
          </w:p>
        </w:tc>
        <w:tc>
          <w:tcPr>
            <w:tcW w:w="1205" w:type="dxa"/>
            <w:tcBorders>
              <w:top w:val="single" w:color="000000" w:sz="2" w:space="0"/>
              <w:left w:val="single" w:color="auto" w:sz="4" w:space="0"/>
              <w:bottom w:val="single" w:color="000000" w:sz="2" w:space="0"/>
              <w:right w:val="single" w:color="000000" w:sz="2" w:space="0"/>
            </w:tcBorders>
            <w:noWrap w:val="0"/>
            <w:vAlign w:val="center"/>
          </w:tcPr>
          <w:p w14:paraId="3EBE26AD">
            <w:pPr>
              <w:jc w:val="center"/>
              <w:rPr>
                <w:rFonts w:hint="eastAsia" w:ascii="宋体" w:hAnsi="宋体"/>
                <w:b/>
                <w:color w:val="auto"/>
                <w:sz w:val="24"/>
                <w:highlight w:val="none"/>
              </w:rPr>
            </w:pPr>
            <w:r>
              <w:rPr>
                <w:rFonts w:hint="eastAsia" w:ascii="宋体" w:hAnsi="宋体"/>
                <w:b/>
                <w:color w:val="auto"/>
                <w:sz w:val="24"/>
                <w:highlight w:val="none"/>
              </w:rPr>
              <w:t>姓名</w:t>
            </w:r>
          </w:p>
        </w:tc>
        <w:tc>
          <w:tcPr>
            <w:tcW w:w="906" w:type="dxa"/>
            <w:tcBorders>
              <w:top w:val="single" w:color="000000" w:sz="2" w:space="0"/>
              <w:left w:val="single" w:color="auto" w:sz="4" w:space="0"/>
              <w:bottom w:val="single" w:color="000000" w:sz="2" w:space="0"/>
              <w:right w:val="single" w:color="auto" w:sz="4" w:space="0"/>
            </w:tcBorders>
            <w:noWrap w:val="0"/>
            <w:vAlign w:val="center"/>
          </w:tcPr>
          <w:p w14:paraId="7D0E3A9C">
            <w:pPr>
              <w:jc w:val="center"/>
              <w:rPr>
                <w:rFonts w:hint="eastAsia" w:ascii="宋体" w:hAnsi="宋体"/>
                <w:b/>
                <w:color w:val="auto"/>
                <w:sz w:val="24"/>
                <w:highlight w:val="none"/>
              </w:rPr>
            </w:pPr>
            <w:r>
              <w:rPr>
                <w:rFonts w:hint="eastAsia" w:ascii="宋体" w:hAnsi="宋体"/>
                <w:b/>
                <w:color w:val="auto"/>
                <w:sz w:val="24"/>
                <w:highlight w:val="none"/>
              </w:rPr>
              <w:t>性别</w:t>
            </w:r>
          </w:p>
        </w:tc>
        <w:tc>
          <w:tcPr>
            <w:tcW w:w="713" w:type="dxa"/>
            <w:tcBorders>
              <w:top w:val="single" w:color="000000" w:sz="2" w:space="0"/>
              <w:left w:val="single" w:color="auto" w:sz="4" w:space="0"/>
              <w:bottom w:val="single" w:color="000000" w:sz="2" w:space="0"/>
              <w:right w:val="single" w:color="auto" w:sz="4" w:space="0"/>
            </w:tcBorders>
            <w:noWrap w:val="0"/>
            <w:vAlign w:val="center"/>
          </w:tcPr>
          <w:p w14:paraId="17ECF079">
            <w:pPr>
              <w:jc w:val="center"/>
              <w:rPr>
                <w:rFonts w:hint="eastAsia" w:ascii="宋体" w:hAnsi="宋体"/>
                <w:b/>
                <w:color w:val="auto"/>
                <w:sz w:val="24"/>
                <w:highlight w:val="none"/>
              </w:rPr>
            </w:pPr>
            <w:r>
              <w:rPr>
                <w:rFonts w:hint="eastAsia" w:ascii="宋体" w:hAnsi="宋体"/>
                <w:b/>
                <w:color w:val="auto"/>
                <w:sz w:val="24"/>
                <w:highlight w:val="none"/>
              </w:rPr>
              <w:t>年龄</w:t>
            </w:r>
          </w:p>
        </w:tc>
        <w:tc>
          <w:tcPr>
            <w:tcW w:w="966" w:type="dxa"/>
            <w:tcBorders>
              <w:top w:val="single" w:color="000000" w:sz="2" w:space="0"/>
              <w:left w:val="single" w:color="auto" w:sz="4" w:space="0"/>
              <w:bottom w:val="single" w:color="000000" w:sz="2" w:space="0"/>
              <w:right w:val="single" w:color="auto" w:sz="4" w:space="0"/>
            </w:tcBorders>
            <w:noWrap w:val="0"/>
            <w:vAlign w:val="center"/>
          </w:tcPr>
          <w:p w14:paraId="4B2D71EC">
            <w:pPr>
              <w:jc w:val="center"/>
              <w:rPr>
                <w:rFonts w:hint="eastAsia" w:ascii="宋体" w:hAnsi="宋体"/>
                <w:b/>
                <w:color w:val="auto"/>
                <w:sz w:val="24"/>
                <w:highlight w:val="none"/>
              </w:rPr>
            </w:pPr>
            <w:r>
              <w:rPr>
                <w:rFonts w:hint="eastAsia" w:ascii="宋体" w:hAnsi="宋体"/>
                <w:b/>
                <w:color w:val="auto"/>
                <w:sz w:val="24"/>
                <w:highlight w:val="none"/>
              </w:rPr>
              <w:t>学历</w:t>
            </w:r>
          </w:p>
        </w:tc>
        <w:tc>
          <w:tcPr>
            <w:tcW w:w="2409" w:type="dxa"/>
            <w:tcBorders>
              <w:top w:val="single" w:color="000000" w:sz="2" w:space="0"/>
              <w:left w:val="single" w:color="auto" w:sz="4" w:space="0"/>
              <w:bottom w:val="single" w:color="000000" w:sz="2" w:space="0"/>
              <w:right w:val="single" w:color="000000" w:sz="2" w:space="0"/>
            </w:tcBorders>
            <w:noWrap w:val="0"/>
            <w:vAlign w:val="center"/>
          </w:tcPr>
          <w:p w14:paraId="6646CBC1">
            <w:pPr>
              <w:ind w:firstLine="482"/>
              <w:jc w:val="center"/>
              <w:rPr>
                <w:rFonts w:hint="eastAsia" w:ascii="宋体" w:hAnsi="宋体" w:eastAsia="宋体" w:cs="宋体"/>
                <w:b/>
                <w:color w:val="auto"/>
                <w:sz w:val="24"/>
                <w:highlight w:val="none"/>
                <w:lang w:eastAsia="zh-CN"/>
              </w:rPr>
            </w:pPr>
            <w:r>
              <w:rPr>
                <w:rFonts w:hint="eastAsia" w:ascii="宋体" w:hAnsi="宋体"/>
                <w:b/>
                <w:color w:val="auto"/>
                <w:sz w:val="24"/>
                <w:highlight w:val="none"/>
                <w:lang w:eastAsia="zh-CN"/>
              </w:rPr>
              <w:t>身份证号码</w:t>
            </w:r>
          </w:p>
        </w:tc>
        <w:tc>
          <w:tcPr>
            <w:tcW w:w="1890" w:type="dxa"/>
            <w:tcBorders>
              <w:top w:val="single" w:color="000000" w:sz="2" w:space="0"/>
              <w:left w:val="single" w:color="auto" w:sz="4" w:space="0"/>
              <w:bottom w:val="single" w:color="000000" w:sz="2" w:space="0"/>
              <w:right w:val="single" w:color="000000" w:sz="2" w:space="0"/>
            </w:tcBorders>
            <w:noWrap w:val="0"/>
            <w:vAlign w:val="center"/>
          </w:tcPr>
          <w:p w14:paraId="5DA61C5B">
            <w:pPr>
              <w:ind w:firstLine="482"/>
              <w:jc w:val="center"/>
              <w:rPr>
                <w:rFonts w:hint="eastAsia" w:ascii="宋体" w:hAnsi="宋体"/>
                <w:b/>
                <w:color w:val="auto"/>
                <w:sz w:val="24"/>
                <w:highlight w:val="none"/>
              </w:rPr>
            </w:pPr>
            <w:r>
              <w:rPr>
                <w:rFonts w:hint="eastAsia" w:ascii="宋体" w:hAnsi="宋体"/>
                <w:b/>
                <w:color w:val="auto"/>
                <w:sz w:val="24"/>
                <w:highlight w:val="none"/>
              </w:rPr>
              <w:t>备  注</w:t>
            </w:r>
          </w:p>
        </w:tc>
      </w:tr>
      <w:tr w14:paraId="5E3D8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noWrap w:val="0"/>
            <w:vAlign w:val="center"/>
          </w:tcPr>
          <w:p w14:paraId="5B7A16AA">
            <w:pPr>
              <w:ind w:firstLine="240"/>
              <w:rPr>
                <w:rFonts w:hint="eastAsia" w:ascii="宋体" w:hAnsi="宋体"/>
                <w:color w:val="auto"/>
                <w:sz w:val="24"/>
                <w:highlight w:val="none"/>
              </w:rPr>
            </w:pPr>
            <w:r>
              <w:rPr>
                <w:rFonts w:hint="eastAsia" w:ascii="宋体" w:hAnsi="宋体"/>
                <w:color w:val="auto"/>
                <w:sz w:val="24"/>
                <w:highlight w:val="none"/>
              </w:rPr>
              <w:t>1</w:t>
            </w:r>
          </w:p>
        </w:tc>
        <w:tc>
          <w:tcPr>
            <w:tcW w:w="1260" w:type="dxa"/>
            <w:tcBorders>
              <w:top w:val="single" w:color="auto" w:sz="4" w:space="0"/>
              <w:left w:val="single" w:color="auto" w:sz="4" w:space="0"/>
              <w:bottom w:val="single" w:color="000000" w:sz="2" w:space="0"/>
              <w:right w:val="single" w:color="auto" w:sz="4" w:space="0"/>
            </w:tcBorders>
            <w:noWrap w:val="0"/>
            <w:vAlign w:val="center"/>
          </w:tcPr>
          <w:p w14:paraId="36A8BCBD">
            <w:pPr>
              <w:jc w:val="center"/>
              <w:rPr>
                <w:rFonts w:hint="eastAsia" w:ascii="宋体" w:hAnsi="宋体"/>
                <w:color w:val="auto"/>
                <w:sz w:val="24"/>
                <w:highlight w:val="none"/>
              </w:rPr>
            </w:pPr>
          </w:p>
        </w:tc>
        <w:tc>
          <w:tcPr>
            <w:tcW w:w="1205" w:type="dxa"/>
            <w:tcBorders>
              <w:top w:val="single" w:color="auto" w:sz="4" w:space="0"/>
              <w:left w:val="single" w:color="auto" w:sz="4" w:space="0"/>
              <w:bottom w:val="single" w:color="000000" w:sz="2" w:space="0"/>
              <w:right w:val="single" w:color="000000" w:sz="2" w:space="0"/>
            </w:tcBorders>
            <w:noWrap w:val="0"/>
            <w:vAlign w:val="center"/>
          </w:tcPr>
          <w:p w14:paraId="2C57176B">
            <w:pPr>
              <w:ind w:firstLine="480"/>
              <w:jc w:val="center"/>
              <w:rPr>
                <w:rFonts w:hint="eastAsia" w:ascii="宋体" w:hAnsi="宋体"/>
                <w:color w:val="auto"/>
                <w:sz w:val="24"/>
                <w:highlight w:val="none"/>
              </w:rPr>
            </w:pPr>
          </w:p>
        </w:tc>
        <w:tc>
          <w:tcPr>
            <w:tcW w:w="906" w:type="dxa"/>
            <w:tcBorders>
              <w:top w:val="single" w:color="auto" w:sz="4" w:space="0"/>
              <w:left w:val="single" w:color="auto" w:sz="4" w:space="0"/>
              <w:bottom w:val="single" w:color="000000" w:sz="2" w:space="0"/>
              <w:right w:val="single" w:color="auto" w:sz="4" w:space="0"/>
            </w:tcBorders>
            <w:noWrap w:val="0"/>
            <w:vAlign w:val="top"/>
          </w:tcPr>
          <w:p w14:paraId="539C4896">
            <w:pPr>
              <w:ind w:firstLine="480"/>
              <w:jc w:val="center"/>
              <w:rPr>
                <w:rFonts w:hint="eastAsia" w:ascii="宋体" w:hAnsi="宋体"/>
                <w:color w:val="auto"/>
                <w:sz w:val="24"/>
                <w:highlight w:val="none"/>
              </w:rPr>
            </w:pPr>
          </w:p>
        </w:tc>
        <w:tc>
          <w:tcPr>
            <w:tcW w:w="713" w:type="dxa"/>
            <w:tcBorders>
              <w:top w:val="single" w:color="auto" w:sz="4" w:space="0"/>
              <w:left w:val="single" w:color="auto" w:sz="4" w:space="0"/>
              <w:bottom w:val="single" w:color="000000" w:sz="2" w:space="0"/>
              <w:right w:val="single" w:color="auto" w:sz="4" w:space="0"/>
            </w:tcBorders>
            <w:noWrap w:val="0"/>
            <w:vAlign w:val="top"/>
          </w:tcPr>
          <w:p w14:paraId="5E218D43">
            <w:pPr>
              <w:ind w:firstLine="480"/>
              <w:jc w:val="center"/>
              <w:rPr>
                <w:rFonts w:hint="eastAsia" w:ascii="宋体" w:hAnsi="宋体"/>
                <w:color w:val="auto"/>
                <w:sz w:val="24"/>
                <w:highlight w:val="none"/>
              </w:rPr>
            </w:pPr>
          </w:p>
        </w:tc>
        <w:tc>
          <w:tcPr>
            <w:tcW w:w="966" w:type="dxa"/>
            <w:tcBorders>
              <w:top w:val="single" w:color="auto" w:sz="4" w:space="0"/>
              <w:left w:val="single" w:color="auto" w:sz="4" w:space="0"/>
              <w:bottom w:val="single" w:color="000000" w:sz="2" w:space="0"/>
              <w:right w:val="single" w:color="auto" w:sz="4" w:space="0"/>
            </w:tcBorders>
            <w:noWrap w:val="0"/>
            <w:vAlign w:val="center"/>
          </w:tcPr>
          <w:p w14:paraId="6F698867">
            <w:pPr>
              <w:ind w:firstLine="480"/>
              <w:jc w:val="center"/>
              <w:rPr>
                <w:rFonts w:hint="eastAsia" w:ascii="宋体" w:hAnsi="宋体"/>
                <w:color w:val="auto"/>
                <w:sz w:val="24"/>
                <w:highlight w:val="none"/>
              </w:rPr>
            </w:pPr>
          </w:p>
        </w:tc>
        <w:tc>
          <w:tcPr>
            <w:tcW w:w="2409" w:type="dxa"/>
            <w:tcBorders>
              <w:top w:val="single" w:color="auto" w:sz="4" w:space="0"/>
              <w:left w:val="single" w:color="auto" w:sz="4" w:space="0"/>
              <w:bottom w:val="single" w:color="000000" w:sz="2" w:space="0"/>
              <w:right w:val="single" w:color="000000" w:sz="2" w:space="0"/>
            </w:tcBorders>
            <w:noWrap w:val="0"/>
            <w:vAlign w:val="center"/>
          </w:tcPr>
          <w:p w14:paraId="5E374EBD">
            <w:pPr>
              <w:ind w:firstLine="480"/>
              <w:jc w:val="center"/>
              <w:rPr>
                <w:rFonts w:hint="eastAsia" w:ascii="宋体" w:hAnsi="宋体"/>
                <w:color w:val="auto"/>
                <w:sz w:val="24"/>
                <w:highlight w:val="none"/>
              </w:rPr>
            </w:pPr>
          </w:p>
        </w:tc>
        <w:tc>
          <w:tcPr>
            <w:tcW w:w="1890" w:type="dxa"/>
            <w:tcBorders>
              <w:top w:val="single" w:color="auto" w:sz="4" w:space="0"/>
              <w:left w:val="single" w:color="auto" w:sz="4" w:space="0"/>
              <w:bottom w:val="single" w:color="000000" w:sz="2" w:space="0"/>
              <w:right w:val="single" w:color="000000" w:sz="2" w:space="0"/>
            </w:tcBorders>
            <w:noWrap w:val="0"/>
            <w:vAlign w:val="center"/>
          </w:tcPr>
          <w:p w14:paraId="5D1971AF">
            <w:pPr>
              <w:ind w:firstLine="480"/>
              <w:jc w:val="center"/>
              <w:rPr>
                <w:rFonts w:hint="eastAsia" w:ascii="宋体" w:hAnsi="宋体"/>
                <w:color w:val="auto"/>
                <w:sz w:val="24"/>
                <w:highlight w:val="none"/>
              </w:rPr>
            </w:pPr>
          </w:p>
        </w:tc>
      </w:tr>
      <w:tr w14:paraId="7D964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noWrap w:val="0"/>
            <w:vAlign w:val="center"/>
          </w:tcPr>
          <w:p w14:paraId="57B99CF3">
            <w:pPr>
              <w:ind w:firstLine="240"/>
              <w:rPr>
                <w:rFonts w:hint="eastAsia" w:ascii="宋体" w:hAnsi="宋体"/>
                <w:color w:val="auto"/>
                <w:sz w:val="24"/>
                <w:highlight w:val="none"/>
              </w:rPr>
            </w:pPr>
            <w:r>
              <w:rPr>
                <w:rFonts w:hint="eastAsia" w:ascii="宋体" w:hAnsi="宋体"/>
                <w:color w:val="auto"/>
                <w:sz w:val="24"/>
                <w:highlight w:val="none"/>
              </w:rPr>
              <w:t>2</w:t>
            </w:r>
          </w:p>
        </w:tc>
        <w:tc>
          <w:tcPr>
            <w:tcW w:w="1260" w:type="dxa"/>
            <w:tcBorders>
              <w:top w:val="single" w:color="auto" w:sz="4" w:space="0"/>
              <w:left w:val="single" w:color="auto" w:sz="4" w:space="0"/>
              <w:bottom w:val="single" w:color="000000" w:sz="2" w:space="0"/>
              <w:right w:val="single" w:color="auto" w:sz="4" w:space="0"/>
            </w:tcBorders>
            <w:noWrap w:val="0"/>
            <w:vAlign w:val="center"/>
          </w:tcPr>
          <w:p w14:paraId="0198C268">
            <w:pPr>
              <w:jc w:val="center"/>
              <w:rPr>
                <w:rFonts w:hint="eastAsia" w:ascii="宋体" w:hAnsi="宋体"/>
                <w:color w:val="auto"/>
                <w:sz w:val="24"/>
                <w:highlight w:val="none"/>
              </w:rPr>
            </w:pPr>
          </w:p>
        </w:tc>
        <w:tc>
          <w:tcPr>
            <w:tcW w:w="1205" w:type="dxa"/>
            <w:tcBorders>
              <w:top w:val="single" w:color="auto" w:sz="4" w:space="0"/>
              <w:left w:val="single" w:color="auto" w:sz="4" w:space="0"/>
              <w:bottom w:val="single" w:color="000000" w:sz="2" w:space="0"/>
              <w:right w:val="single" w:color="000000" w:sz="2" w:space="0"/>
            </w:tcBorders>
            <w:noWrap w:val="0"/>
            <w:vAlign w:val="center"/>
          </w:tcPr>
          <w:p w14:paraId="0D9885D0">
            <w:pPr>
              <w:ind w:firstLine="480"/>
              <w:jc w:val="center"/>
              <w:rPr>
                <w:rFonts w:hint="eastAsia" w:ascii="宋体" w:hAnsi="宋体"/>
                <w:color w:val="auto"/>
                <w:sz w:val="24"/>
                <w:highlight w:val="none"/>
              </w:rPr>
            </w:pPr>
          </w:p>
        </w:tc>
        <w:tc>
          <w:tcPr>
            <w:tcW w:w="906" w:type="dxa"/>
            <w:tcBorders>
              <w:top w:val="single" w:color="auto" w:sz="4" w:space="0"/>
              <w:left w:val="single" w:color="auto" w:sz="4" w:space="0"/>
              <w:bottom w:val="single" w:color="000000" w:sz="2" w:space="0"/>
              <w:right w:val="single" w:color="auto" w:sz="4" w:space="0"/>
            </w:tcBorders>
            <w:noWrap w:val="0"/>
            <w:vAlign w:val="top"/>
          </w:tcPr>
          <w:p w14:paraId="7E7076B6">
            <w:pPr>
              <w:ind w:firstLine="480"/>
              <w:jc w:val="center"/>
              <w:rPr>
                <w:rFonts w:hint="eastAsia" w:ascii="宋体" w:hAnsi="宋体"/>
                <w:color w:val="auto"/>
                <w:sz w:val="24"/>
                <w:highlight w:val="none"/>
              </w:rPr>
            </w:pPr>
          </w:p>
        </w:tc>
        <w:tc>
          <w:tcPr>
            <w:tcW w:w="713" w:type="dxa"/>
            <w:tcBorders>
              <w:top w:val="single" w:color="auto" w:sz="4" w:space="0"/>
              <w:left w:val="single" w:color="auto" w:sz="4" w:space="0"/>
              <w:bottom w:val="single" w:color="000000" w:sz="2" w:space="0"/>
              <w:right w:val="single" w:color="auto" w:sz="4" w:space="0"/>
            </w:tcBorders>
            <w:noWrap w:val="0"/>
            <w:vAlign w:val="top"/>
          </w:tcPr>
          <w:p w14:paraId="33F0E621">
            <w:pPr>
              <w:ind w:firstLine="480"/>
              <w:jc w:val="center"/>
              <w:rPr>
                <w:rFonts w:hint="eastAsia" w:ascii="宋体" w:hAnsi="宋体"/>
                <w:color w:val="auto"/>
                <w:sz w:val="24"/>
                <w:highlight w:val="none"/>
              </w:rPr>
            </w:pPr>
          </w:p>
        </w:tc>
        <w:tc>
          <w:tcPr>
            <w:tcW w:w="966" w:type="dxa"/>
            <w:tcBorders>
              <w:top w:val="single" w:color="auto" w:sz="4" w:space="0"/>
              <w:left w:val="single" w:color="auto" w:sz="4" w:space="0"/>
              <w:bottom w:val="single" w:color="000000" w:sz="2" w:space="0"/>
              <w:right w:val="single" w:color="auto" w:sz="4" w:space="0"/>
            </w:tcBorders>
            <w:noWrap w:val="0"/>
            <w:vAlign w:val="center"/>
          </w:tcPr>
          <w:p w14:paraId="0A6BA4FC">
            <w:pPr>
              <w:ind w:firstLine="480"/>
              <w:jc w:val="center"/>
              <w:rPr>
                <w:rFonts w:hint="eastAsia" w:ascii="宋体" w:hAnsi="宋体"/>
                <w:color w:val="auto"/>
                <w:sz w:val="24"/>
                <w:highlight w:val="none"/>
              </w:rPr>
            </w:pPr>
          </w:p>
        </w:tc>
        <w:tc>
          <w:tcPr>
            <w:tcW w:w="2409" w:type="dxa"/>
            <w:tcBorders>
              <w:top w:val="single" w:color="auto" w:sz="4" w:space="0"/>
              <w:left w:val="single" w:color="auto" w:sz="4" w:space="0"/>
              <w:bottom w:val="single" w:color="000000" w:sz="2" w:space="0"/>
              <w:right w:val="single" w:color="000000" w:sz="2" w:space="0"/>
            </w:tcBorders>
            <w:noWrap w:val="0"/>
            <w:vAlign w:val="center"/>
          </w:tcPr>
          <w:p w14:paraId="6E6E3C26">
            <w:pPr>
              <w:ind w:firstLine="480"/>
              <w:jc w:val="center"/>
              <w:rPr>
                <w:rFonts w:hint="eastAsia" w:ascii="宋体" w:hAnsi="宋体"/>
                <w:color w:val="auto"/>
                <w:sz w:val="24"/>
                <w:highlight w:val="none"/>
              </w:rPr>
            </w:pPr>
          </w:p>
        </w:tc>
        <w:tc>
          <w:tcPr>
            <w:tcW w:w="1890" w:type="dxa"/>
            <w:tcBorders>
              <w:top w:val="single" w:color="auto" w:sz="4" w:space="0"/>
              <w:left w:val="single" w:color="auto" w:sz="4" w:space="0"/>
              <w:bottom w:val="single" w:color="000000" w:sz="2" w:space="0"/>
              <w:right w:val="single" w:color="000000" w:sz="2" w:space="0"/>
            </w:tcBorders>
            <w:noWrap w:val="0"/>
            <w:vAlign w:val="center"/>
          </w:tcPr>
          <w:p w14:paraId="637BD08B">
            <w:pPr>
              <w:ind w:firstLine="480"/>
              <w:jc w:val="center"/>
              <w:rPr>
                <w:rFonts w:hint="eastAsia" w:ascii="宋体" w:hAnsi="宋体"/>
                <w:color w:val="auto"/>
                <w:sz w:val="24"/>
                <w:highlight w:val="none"/>
              </w:rPr>
            </w:pPr>
          </w:p>
        </w:tc>
      </w:tr>
      <w:tr w14:paraId="4F69E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noWrap w:val="0"/>
            <w:vAlign w:val="center"/>
          </w:tcPr>
          <w:p w14:paraId="7CDE2A07">
            <w:pPr>
              <w:ind w:firstLine="240"/>
              <w:rPr>
                <w:rFonts w:hint="eastAsia" w:ascii="宋体" w:hAnsi="宋体"/>
                <w:color w:val="auto"/>
                <w:sz w:val="24"/>
                <w:highlight w:val="none"/>
              </w:rPr>
            </w:pPr>
            <w:r>
              <w:rPr>
                <w:rFonts w:hint="eastAsia" w:ascii="宋体" w:hAnsi="宋体"/>
                <w:color w:val="auto"/>
                <w:sz w:val="24"/>
                <w:highlight w:val="none"/>
              </w:rPr>
              <w:t>3</w:t>
            </w:r>
          </w:p>
        </w:tc>
        <w:tc>
          <w:tcPr>
            <w:tcW w:w="1260" w:type="dxa"/>
            <w:tcBorders>
              <w:top w:val="single" w:color="auto" w:sz="4" w:space="0"/>
              <w:left w:val="single" w:color="auto" w:sz="4" w:space="0"/>
              <w:bottom w:val="single" w:color="000000" w:sz="2" w:space="0"/>
              <w:right w:val="single" w:color="auto" w:sz="4" w:space="0"/>
            </w:tcBorders>
            <w:noWrap w:val="0"/>
            <w:vAlign w:val="center"/>
          </w:tcPr>
          <w:p w14:paraId="18EBF825">
            <w:pPr>
              <w:jc w:val="center"/>
              <w:rPr>
                <w:rFonts w:hint="eastAsia" w:ascii="宋体" w:hAnsi="宋体"/>
                <w:color w:val="auto"/>
                <w:sz w:val="24"/>
                <w:highlight w:val="none"/>
              </w:rPr>
            </w:pPr>
          </w:p>
        </w:tc>
        <w:tc>
          <w:tcPr>
            <w:tcW w:w="1205" w:type="dxa"/>
            <w:tcBorders>
              <w:top w:val="single" w:color="auto" w:sz="4" w:space="0"/>
              <w:left w:val="single" w:color="auto" w:sz="4" w:space="0"/>
              <w:bottom w:val="single" w:color="000000" w:sz="2" w:space="0"/>
              <w:right w:val="single" w:color="000000" w:sz="2" w:space="0"/>
            </w:tcBorders>
            <w:noWrap w:val="0"/>
            <w:vAlign w:val="center"/>
          </w:tcPr>
          <w:p w14:paraId="0E7A4C87">
            <w:pPr>
              <w:ind w:firstLine="480"/>
              <w:jc w:val="center"/>
              <w:rPr>
                <w:rFonts w:hint="eastAsia" w:ascii="宋体" w:hAnsi="宋体"/>
                <w:color w:val="auto"/>
                <w:sz w:val="24"/>
                <w:highlight w:val="none"/>
              </w:rPr>
            </w:pPr>
          </w:p>
        </w:tc>
        <w:tc>
          <w:tcPr>
            <w:tcW w:w="906" w:type="dxa"/>
            <w:tcBorders>
              <w:top w:val="single" w:color="auto" w:sz="4" w:space="0"/>
              <w:left w:val="single" w:color="auto" w:sz="4" w:space="0"/>
              <w:bottom w:val="single" w:color="000000" w:sz="2" w:space="0"/>
              <w:right w:val="single" w:color="auto" w:sz="4" w:space="0"/>
            </w:tcBorders>
            <w:noWrap w:val="0"/>
            <w:vAlign w:val="top"/>
          </w:tcPr>
          <w:p w14:paraId="5F1D4E47">
            <w:pPr>
              <w:ind w:firstLine="480"/>
              <w:jc w:val="center"/>
              <w:rPr>
                <w:rFonts w:hint="eastAsia" w:ascii="宋体" w:hAnsi="宋体"/>
                <w:color w:val="auto"/>
                <w:sz w:val="24"/>
                <w:highlight w:val="none"/>
              </w:rPr>
            </w:pPr>
          </w:p>
        </w:tc>
        <w:tc>
          <w:tcPr>
            <w:tcW w:w="713" w:type="dxa"/>
            <w:tcBorders>
              <w:top w:val="single" w:color="auto" w:sz="4" w:space="0"/>
              <w:left w:val="single" w:color="auto" w:sz="4" w:space="0"/>
              <w:bottom w:val="single" w:color="000000" w:sz="2" w:space="0"/>
              <w:right w:val="single" w:color="auto" w:sz="4" w:space="0"/>
            </w:tcBorders>
            <w:noWrap w:val="0"/>
            <w:vAlign w:val="top"/>
          </w:tcPr>
          <w:p w14:paraId="36105533">
            <w:pPr>
              <w:ind w:firstLine="480"/>
              <w:jc w:val="center"/>
              <w:rPr>
                <w:rFonts w:hint="eastAsia" w:ascii="宋体" w:hAnsi="宋体"/>
                <w:color w:val="auto"/>
                <w:sz w:val="24"/>
                <w:highlight w:val="none"/>
              </w:rPr>
            </w:pPr>
          </w:p>
        </w:tc>
        <w:tc>
          <w:tcPr>
            <w:tcW w:w="966" w:type="dxa"/>
            <w:tcBorders>
              <w:top w:val="single" w:color="auto" w:sz="4" w:space="0"/>
              <w:left w:val="single" w:color="auto" w:sz="4" w:space="0"/>
              <w:bottom w:val="single" w:color="000000" w:sz="2" w:space="0"/>
              <w:right w:val="single" w:color="auto" w:sz="4" w:space="0"/>
            </w:tcBorders>
            <w:noWrap w:val="0"/>
            <w:vAlign w:val="center"/>
          </w:tcPr>
          <w:p w14:paraId="23DD7140">
            <w:pPr>
              <w:ind w:firstLine="480"/>
              <w:jc w:val="center"/>
              <w:rPr>
                <w:rFonts w:hint="eastAsia" w:ascii="宋体" w:hAnsi="宋体"/>
                <w:color w:val="auto"/>
                <w:sz w:val="24"/>
                <w:highlight w:val="none"/>
              </w:rPr>
            </w:pPr>
          </w:p>
        </w:tc>
        <w:tc>
          <w:tcPr>
            <w:tcW w:w="2409" w:type="dxa"/>
            <w:tcBorders>
              <w:top w:val="single" w:color="auto" w:sz="4" w:space="0"/>
              <w:left w:val="single" w:color="auto" w:sz="4" w:space="0"/>
              <w:bottom w:val="single" w:color="000000" w:sz="2" w:space="0"/>
              <w:right w:val="single" w:color="000000" w:sz="2" w:space="0"/>
            </w:tcBorders>
            <w:noWrap w:val="0"/>
            <w:vAlign w:val="center"/>
          </w:tcPr>
          <w:p w14:paraId="793D1F5A">
            <w:pPr>
              <w:ind w:firstLine="480"/>
              <w:jc w:val="center"/>
              <w:rPr>
                <w:rFonts w:hint="eastAsia" w:ascii="宋体" w:hAnsi="宋体"/>
                <w:color w:val="auto"/>
                <w:sz w:val="24"/>
                <w:highlight w:val="none"/>
              </w:rPr>
            </w:pPr>
          </w:p>
        </w:tc>
        <w:tc>
          <w:tcPr>
            <w:tcW w:w="1890" w:type="dxa"/>
            <w:tcBorders>
              <w:top w:val="single" w:color="auto" w:sz="4" w:space="0"/>
              <w:left w:val="single" w:color="auto" w:sz="4" w:space="0"/>
              <w:bottom w:val="single" w:color="000000" w:sz="2" w:space="0"/>
              <w:right w:val="single" w:color="000000" w:sz="2" w:space="0"/>
            </w:tcBorders>
            <w:noWrap w:val="0"/>
            <w:vAlign w:val="center"/>
          </w:tcPr>
          <w:p w14:paraId="2F3466BF">
            <w:pPr>
              <w:ind w:firstLine="480"/>
              <w:jc w:val="center"/>
              <w:rPr>
                <w:rFonts w:hint="eastAsia" w:ascii="宋体" w:hAnsi="宋体"/>
                <w:color w:val="auto"/>
                <w:sz w:val="24"/>
                <w:highlight w:val="none"/>
              </w:rPr>
            </w:pPr>
          </w:p>
        </w:tc>
      </w:tr>
      <w:tr w14:paraId="46FD9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noWrap w:val="0"/>
            <w:vAlign w:val="center"/>
          </w:tcPr>
          <w:p w14:paraId="45D7EBE1">
            <w:pPr>
              <w:ind w:firstLine="240"/>
              <w:rPr>
                <w:rFonts w:hint="eastAsia" w:ascii="宋体" w:hAnsi="宋体"/>
                <w:color w:val="auto"/>
                <w:sz w:val="24"/>
                <w:highlight w:val="none"/>
              </w:rPr>
            </w:pPr>
            <w:r>
              <w:rPr>
                <w:rFonts w:hint="eastAsia" w:ascii="宋体" w:hAnsi="宋体"/>
                <w:color w:val="auto"/>
                <w:sz w:val="24"/>
                <w:highlight w:val="none"/>
              </w:rPr>
              <w:t>4</w:t>
            </w:r>
          </w:p>
        </w:tc>
        <w:tc>
          <w:tcPr>
            <w:tcW w:w="1260" w:type="dxa"/>
            <w:tcBorders>
              <w:top w:val="single" w:color="auto" w:sz="4" w:space="0"/>
              <w:left w:val="single" w:color="auto" w:sz="4" w:space="0"/>
              <w:bottom w:val="single" w:color="000000" w:sz="2" w:space="0"/>
              <w:right w:val="single" w:color="auto" w:sz="4" w:space="0"/>
            </w:tcBorders>
            <w:noWrap w:val="0"/>
            <w:vAlign w:val="center"/>
          </w:tcPr>
          <w:p w14:paraId="23B3E19B">
            <w:pPr>
              <w:ind w:firstLine="480"/>
              <w:rPr>
                <w:rFonts w:hint="eastAsia" w:ascii="宋体" w:hAnsi="宋体"/>
                <w:color w:val="auto"/>
                <w:sz w:val="24"/>
                <w:highlight w:val="none"/>
              </w:rPr>
            </w:pPr>
          </w:p>
        </w:tc>
        <w:tc>
          <w:tcPr>
            <w:tcW w:w="1205" w:type="dxa"/>
            <w:tcBorders>
              <w:top w:val="single" w:color="auto" w:sz="4" w:space="0"/>
              <w:left w:val="single" w:color="auto" w:sz="4" w:space="0"/>
              <w:bottom w:val="single" w:color="000000" w:sz="2" w:space="0"/>
              <w:right w:val="single" w:color="000000" w:sz="2" w:space="0"/>
            </w:tcBorders>
            <w:noWrap w:val="0"/>
            <w:vAlign w:val="center"/>
          </w:tcPr>
          <w:p w14:paraId="5F707125">
            <w:pPr>
              <w:ind w:firstLine="480"/>
              <w:jc w:val="center"/>
              <w:rPr>
                <w:rFonts w:hint="eastAsia" w:ascii="宋体" w:hAnsi="宋体"/>
                <w:color w:val="auto"/>
                <w:sz w:val="24"/>
                <w:highlight w:val="none"/>
              </w:rPr>
            </w:pPr>
          </w:p>
        </w:tc>
        <w:tc>
          <w:tcPr>
            <w:tcW w:w="906" w:type="dxa"/>
            <w:tcBorders>
              <w:top w:val="single" w:color="auto" w:sz="4" w:space="0"/>
              <w:left w:val="single" w:color="auto" w:sz="4" w:space="0"/>
              <w:bottom w:val="single" w:color="000000" w:sz="2" w:space="0"/>
              <w:right w:val="single" w:color="auto" w:sz="4" w:space="0"/>
            </w:tcBorders>
            <w:noWrap w:val="0"/>
            <w:vAlign w:val="top"/>
          </w:tcPr>
          <w:p w14:paraId="6617EBED">
            <w:pPr>
              <w:ind w:firstLine="480"/>
              <w:jc w:val="center"/>
              <w:rPr>
                <w:rFonts w:hint="eastAsia" w:ascii="宋体" w:hAnsi="宋体"/>
                <w:color w:val="auto"/>
                <w:sz w:val="24"/>
                <w:highlight w:val="none"/>
              </w:rPr>
            </w:pPr>
          </w:p>
        </w:tc>
        <w:tc>
          <w:tcPr>
            <w:tcW w:w="713" w:type="dxa"/>
            <w:tcBorders>
              <w:top w:val="single" w:color="auto" w:sz="4" w:space="0"/>
              <w:left w:val="single" w:color="auto" w:sz="4" w:space="0"/>
              <w:bottom w:val="single" w:color="000000" w:sz="2" w:space="0"/>
              <w:right w:val="single" w:color="auto" w:sz="4" w:space="0"/>
            </w:tcBorders>
            <w:noWrap w:val="0"/>
            <w:vAlign w:val="top"/>
          </w:tcPr>
          <w:p w14:paraId="5E846EE8">
            <w:pPr>
              <w:ind w:firstLine="480"/>
              <w:jc w:val="center"/>
              <w:rPr>
                <w:rFonts w:hint="eastAsia" w:ascii="宋体" w:hAnsi="宋体"/>
                <w:color w:val="auto"/>
                <w:sz w:val="24"/>
                <w:highlight w:val="none"/>
              </w:rPr>
            </w:pPr>
          </w:p>
        </w:tc>
        <w:tc>
          <w:tcPr>
            <w:tcW w:w="966" w:type="dxa"/>
            <w:tcBorders>
              <w:top w:val="single" w:color="auto" w:sz="4" w:space="0"/>
              <w:left w:val="single" w:color="auto" w:sz="4" w:space="0"/>
              <w:bottom w:val="single" w:color="000000" w:sz="2" w:space="0"/>
              <w:right w:val="single" w:color="auto" w:sz="4" w:space="0"/>
            </w:tcBorders>
            <w:noWrap w:val="0"/>
            <w:vAlign w:val="center"/>
          </w:tcPr>
          <w:p w14:paraId="3842DE40">
            <w:pPr>
              <w:ind w:firstLine="480"/>
              <w:jc w:val="center"/>
              <w:rPr>
                <w:rFonts w:hint="eastAsia" w:ascii="宋体" w:hAnsi="宋体"/>
                <w:color w:val="auto"/>
                <w:sz w:val="24"/>
                <w:highlight w:val="none"/>
              </w:rPr>
            </w:pPr>
          </w:p>
        </w:tc>
        <w:tc>
          <w:tcPr>
            <w:tcW w:w="2409" w:type="dxa"/>
            <w:tcBorders>
              <w:top w:val="single" w:color="auto" w:sz="4" w:space="0"/>
              <w:left w:val="single" w:color="auto" w:sz="4" w:space="0"/>
              <w:bottom w:val="single" w:color="000000" w:sz="2" w:space="0"/>
              <w:right w:val="single" w:color="000000" w:sz="2" w:space="0"/>
            </w:tcBorders>
            <w:noWrap w:val="0"/>
            <w:vAlign w:val="center"/>
          </w:tcPr>
          <w:p w14:paraId="43F690DF">
            <w:pPr>
              <w:ind w:firstLine="480"/>
              <w:jc w:val="center"/>
              <w:rPr>
                <w:rFonts w:hint="eastAsia" w:ascii="宋体" w:hAnsi="宋体"/>
                <w:color w:val="auto"/>
                <w:sz w:val="24"/>
                <w:highlight w:val="none"/>
              </w:rPr>
            </w:pPr>
          </w:p>
        </w:tc>
        <w:tc>
          <w:tcPr>
            <w:tcW w:w="1890" w:type="dxa"/>
            <w:tcBorders>
              <w:top w:val="single" w:color="auto" w:sz="4" w:space="0"/>
              <w:left w:val="single" w:color="auto" w:sz="4" w:space="0"/>
              <w:bottom w:val="single" w:color="000000" w:sz="2" w:space="0"/>
              <w:right w:val="single" w:color="000000" w:sz="2" w:space="0"/>
            </w:tcBorders>
            <w:noWrap w:val="0"/>
            <w:vAlign w:val="center"/>
          </w:tcPr>
          <w:p w14:paraId="28B58C48">
            <w:pPr>
              <w:ind w:firstLine="480"/>
              <w:jc w:val="center"/>
              <w:rPr>
                <w:rFonts w:hint="eastAsia" w:ascii="宋体" w:hAnsi="宋体"/>
                <w:color w:val="auto"/>
                <w:sz w:val="24"/>
                <w:highlight w:val="none"/>
              </w:rPr>
            </w:pPr>
          </w:p>
        </w:tc>
      </w:tr>
      <w:tr w14:paraId="0B5C0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noWrap w:val="0"/>
            <w:vAlign w:val="center"/>
          </w:tcPr>
          <w:p w14:paraId="4245EF81">
            <w:pPr>
              <w:ind w:firstLine="240"/>
              <w:rPr>
                <w:rFonts w:hint="eastAsia" w:ascii="宋体" w:hAnsi="宋体"/>
                <w:color w:val="auto"/>
                <w:sz w:val="24"/>
                <w:highlight w:val="none"/>
              </w:rPr>
            </w:pPr>
            <w:r>
              <w:rPr>
                <w:rFonts w:hint="eastAsia" w:ascii="宋体" w:hAnsi="宋体"/>
                <w:color w:val="auto"/>
                <w:sz w:val="24"/>
                <w:highlight w:val="none"/>
              </w:rPr>
              <w:t>5</w:t>
            </w:r>
          </w:p>
        </w:tc>
        <w:tc>
          <w:tcPr>
            <w:tcW w:w="1260" w:type="dxa"/>
            <w:tcBorders>
              <w:top w:val="single" w:color="auto" w:sz="4" w:space="0"/>
              <w:left w:val="single" w:color="auto" w:sz="4" w:space="0"/>
              <w:bottom w:val="single" w:color="000000" w:sz="2" w:space="0"/>
              <w:right w:val="single" w:color="auto" w:sz="4" w:space="0"/>
            </w:tcBorders>
            <w:noWrap w:val="0"/>
            <w:vAlign w:val="top"/>
          </w:tcPr>
          <w:p w14:paraId="0E5562C4">
            <w:pPr>
              <w:ind w:firstLine="480"/>
              <w:jc w:val="center"/>
              <w:rPr>
                <w:rFonts w:hint="eastAsia" w:ascii="宋体" w:hAnsi="宋体"/>
                <w:color w:val="auto"/>
                <w:sz w:val="24"/>
                <w:highlight w:val="none"/>
              </w:rPr>
            </w:pPr>
          </w:p>
        </w:tc>
        <w:tc>
          <w:tcPr>
            <w:tcW w:w="1205" w:type="dxa"/>
            <w:tcBorders>
              <w:top w:val="single" w:color="auto" w:sz="4" w:space="0"/>
              <w:left w:val="single" w:color="auto" w:sz="4" w:space="0"/>
              <w:bottom w:val="single" w:color="000000" w:sz="2" w:space="0"/>
              <w:right w:val="single" w:color="000000" w:sz="2" w:space="0"/>
            </w:tcBorders>
            <w:noWrap w:val="0"/>
            <w:vAlign w:val="center"/>
          </w:tcPr>
          <w:p w14:paraId="3138E824">
            <w:pPr>
              <w:ind w:firstLine="480"/>
              <w:jc w:val="center"/>
              <w:rPr>
                <w:rFonts w:hint="eastAsia" w:ascii="宋体" w:hAnsi="宋体"/>
                <w:color w:val="auto"/>
                <w:sz w:val="24"/>
                <w:highlight w:val="none"/>
              </w:rPr>
            </w:pPr>
          </w:p>
        </w:tc>
        <w:tc>
          <w:tcPr>
            <w:tcW w:w="906" w:type="dxa"/>
            <w:tcBorders>
              <w:top w:val="single" w:color="auto" w:sz="4" w:space="0"/>
              <w:left w:val="single" w:color="auto" w:sz="4" w:space="0"/>
              <w:bottom w:val="single" w:color="000000" w:sz="2" w:space="0"/>
              <w:right w:val="single" w:color="auto" w:sz="4" w:space="0"/>
            </w:tcBorders>
            <w:noWrap w:val="0"/>
            <w:vAlign w:val="top"/>
          </w:tcPr>
          <w:p w14:paraId="18020AA4">
            <w:pPr>
              <w:ind w:firstLine="480"/>
              <w:jc w:val="center"/>
              <w:rPr>
                <w:rFonts w:hint="eastAsia" w:ascii="宋体" w:hAnsi="宋体"/>
                <w:color w:val="auto"/>
                <w:sz w:val="24"/>
                <w:highlight w:val="none"/>
              </w:rPr>
            </w:pPr>
          </w:p>
        </w:tc>
        <w:tc>
          <w:tcPr>
            <w:tcW w:w="713" w:type="dxa"/>
            <w:tcBorders>
              <w:top w:val="single" w:color="auto" w:sz="4" w:space="0"/>
              <w:left w:val="single" w:color="auto" w:sz="4" w:space="0"/>
              <w:bottom w:val="single" w:color="000000" w:sz="2" w:space="0"/>
              <w:right w:val="single" w:color="auto" w:sz="4" w:space="0"/>
            </w:tcBorders>
            <w:noWrap w:val="0"/>
            <w:vAlign w:val="top"/>
          </w:tcPr>
          <w:p w14:paraId="520F2EA4">
            <w:pPr>
              <w:ind w:firstLine="480"/>
              <w:jc w:val="center"/>
              <w:rPr>
                <w:rFonts w:hint="eastAsia" w:ascii="宋体" w:hAnsi="宋体"/>
                <w:color w:val="auto"/>
                <w:sz w:val="24"/>
                <w:highlight w:val="none"/>
              </w:rPr>
            </w:pPr>
          </w:p>
        </w:tc>
        <w:tc>
          <w:tcPr>
            <w:tcW w:w="966" w:type="dxa"/>
            <w:tcBorders>
              <w:top w:val="single" w:color="auto" w:sz="4" w:space="0"/>
              <w:left w:val="single" w:color="auto" w:sz="4" w:space="0"/>
              <w:bottom w:val="single" w:color="000000" w:sz="2" w:space="0"/>
              <w:right w:val="single" w:color="auto" w:sz="4" w:space="0"/>
            </w:tcBorders>
            <w:noWrap w:val="0"/>
            <w:vAlign w:val="center"/>
          </w:tcPr>
          <w:p w14:paraId="19A56D6B">
            <w:pPr>
              <w:ind w:firstLine="480"/>
              <w:jc w:val="center"/>
              <w:rPr>
                <w:rFonts w:hint="eastAsia" w:ascii="宋体" w:hAnsi="宋体"/>
                <w:color w:val="auto"/>
                <w:sz w:val="24"/>
                <w:highlight w:val="none"/>
              </w:rPr>
            </w:pPr>
          </w:p>
        </w:tc>
        <w:tc>
          <w:tcPr>
            <w:tcW w:w="2409" w:type="dxa"/>
            <w:tcBorders>
              <w:top w:val="single" w:color="auto" w:sz="4" w:space="0"/>
              <w:left w:val="single" w:color="auto" w:sz="4" w:space="0"/>
              <w:bottom w:val="single" w:color="000000" w:sz="2" w:space="0"/>
              <w:right w:val="single" w:color="000000" w:sz="2" w:space="0"/>
            </w:tcBorders>
            <w:noWrap w:val="0"/>
            <w:vAlign w:val="center"/>
          </w:tcPr>
          <w:p w14:paraId="794B67E4">
            <w:pPr>
              <w:ind w:firstLine="480"/>
              <w:jc w:val="center"/>
              <w:rPr>
                <w:rFonts w:hint="eastAsia" w:ascii="宋体" w:hAnsi="宋体"/>
                <w:color w:val="auto"/>
                <w:sz w:val="24"/>
                <w:highlight w:val="none"/>
              </w:rPr>
            </w:pPr>
          </w:p>
        </w:tc>
        <w:tc>
          <w:tcPr>
            <w:tcW w:w="1890" w:type="dxa"/>
            <w:tcBorders>
              <w:top w:val="single" w:color="auto" w:sz="4" w:space="0"/>
              <w:left w:val="single" w:color="auto" w:sz="4" w:space="0"/>
              <w:bottom w:val="single" w:color="000000" w:sz="2" w:space="0"/>
              <w:right w:val="single" w:color="000000" w:sz="2" w:space="0"/>
            </w:tcBorders>
            <w:noWrap w:val="0"/>
            <w:vAlign w:val="center"/>
          </w:tcPr>
          <w:p w14:paraId="69D800AD">
            <w:pPr>
              <w:ind w:firstLine="480"/>
              <w:jc w:val="center"/>
              <w:rPr>
                <w:rFonts w:hint="eastAsia" w:ascii="宋体" w:hAnsi="宋体"/>
                <w:color w:val="auto"/>
                <w:sz w:val="24"/>
                <w:highlight w:val="none"/>
              </w:rPr>
            </w:pPr>
          </w:p>
        </w:tc>
      </w:tr>
      <w:tr w14:paraId="3AECD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noWrap w:val="0"/>
            <w:vAlign w:val="center"/>
          </w:tcPr>
          <w:p w14:paraId="6F43743F">
            <w:pPr>
              <w:ind w:firstLine="240"/>
              <w:rPr>
                <w:rFonts w:hint="eastAsia" w:ascii="宋体" w:hAnsi="宋体"/>
                <w:color w:val="auto"/>
                <w:sz w:val="24"/>
                <w:highlight w:val="none"/>
              </w:rPr>
            </w:pPr>
            <w:r>
              <w:rPr>
                <w:rFonts w:hint="eastAsia" w:ascii="宋体" w:hAnsi="宋体"/>
                <w:color w:val="auto"/>
                <w:sz w:val="24"/>
                <w:highlight w:val="none"/>
              </w:rPr>
              <w:t>6</w:t>
            </w:r>
          </w:p>
        </w:tc>
        <w:tc>
          <w:tcPr>
            <w:tcW w:w="1260" w:type="dxa"/>
            <w:tcBorders>
              <w:top w:val="single" w:color="auto" w:sz="4" w:space="0"/>
              <w:left w:val="single" w:color="auto" w:sz="4" w:space="0"/>
              <w:bottom w:val="single" w:color="000000" w:sz="2" w:space="0"/>
              <w:right w:val="single" w:color="auto" w:sz="4" w:space="0"/>
            </w:tcBorders>
            <w:noWrap w:val="0"/>
            <w:vAlign w:val="top"/>
          </w:tcPr>
          <w:p w14:paraId="0DCFC0C2">
            <w:pPr>
              <w:ind w:firstLine="480"/>
              <w:jc w:val="center"/>
              <w:rPr>
                <w:rFonts w:hint="eastAsia" w:ascii="宋体" w:hAnsi="宋体"/>
                <w:color w:val="auto"/>
                <w:sz w:val="24"/>
                <w:highlight w:val="none"/>
              </w:rPr>
            </w:pPr>
          </w:p>
        </w:tc>
        <w:tc>
          <w:tcPr>
            <w:tcW w:w="1205" w:type="dxa"/>
            <w:tcBorders>
              <w:top w:val="single" w:color="auto" w:sz="4" w:space="0"/>
              <w:left w:val="single" w:color="auto" w:sz="4" w:space="0"/>
              <w:bottom w:val="single" w:color="000000" w:sz="2" w:space="0"/>
              <w:right w:val="single" w:color="000000" w:sz="2" w:space="0"/>
            </w:tcBorders>
            <w:noWrap w:val="0"/>
            <w:vAlign w:val="center"/>
          </w:tcPr>
          <w:p w14:paraId="6C264EBE">
            <w:pPr>
              <w:ind w:firstLine="480"/>
              <w:jc w:val="center"/>
              <w:rPr>
                <w:rFonts w:hint="eastAsia" w:ascii="宋体" w:hAnsi="宋体"/>
                <w:color w:val="auto"/>
                <w:sz w:val="24"/>
                <w:highlight w:val="none"/>
              </w:rPr>
            </w:pPr>
          </w:p>
        </w:tc>
        <w:tc>
          <w:tcPr>
            <w:tcW w:w="906" w:type="dxa"/>
            <w:tcBorders>
              <w:top w:val="single" w:color="auto" w:sz="4" w:space="0"/>
              <w:left w:val="single" w:color="auto" w:sz="4" w:space="0"/>
              <w:bottom w:val="single" w:color="000000" w:sz="2" w:space="0"/>
              <w:right w:val="single" w:color="auto" w:sz="4" w:space="0"/>
            </w:tcBorders>
            <w:noWrap w:val="0"/>
            <w:vAlign w:val="top"/>
          </w:tcPr>
          <w:p w14:paraId="5193E9D7">
            <w:pPr>
              <w:ind w:firstLine="480"/>
              <w:jc w:val="center"/>
              <w:rPr>
                <w:rFonts w:hint="eastAsia" w:ascii="宋体" w:hAnsi="宋体"/>
                <w:color w:val="auto"/>
                <w:sz w:val="24"/>
                <w:highlight w:val="none"/>
              </w:rPr>
            </w:pPr>
          </w:p>
        </w:tc>
        <w:tc>
          <w:tcPr>
            <w:tcW w:w="713" w:type="dxa"/>
            <w:tcBorders>
              <w:top w:val="single" w:color="auto" w:sz="4" w:space="0"/>
              <w:left w:val="single" w:color="auto" w:sz="4" w:space="0"/>
              <w:bottom w:val="single" w:color="000000" w:sz="2" w:space="0"/>
              <w:right w:val="single" w:color="auto" w:sz="4" w:space="0"/>
            </w:tcBorders>
            <w:noWrap w:val="0"/>
            <w:vAlign w:val="top"/>
          </w:tcPr>
          <w:p w14:paraId="393D0601">
            <w:pPr>
              <w:ind w:firstLine="480"/>
              <w:jc w:val="center"/>
              <w:rPr>
                <w:rFonts w:hint="eastAsia" w:ascii="宋体" w:hAnsi="宋体"/>
                <w:color w:val="auto"/>
                <w:sz w:val="24"/>
                <w:highlight w:val="none"/>
              </w:rPr>
            </w:pPr>
          </w:p>
        </w:tc>
        <w:tc>
          <w:tcPr>
            <w:tcW w:w="966" w:type="dxa"/>
            <w:tcBorders>
              <w:top w:val="single" w:color="auto" w:sz="4" w:space="0"/>
              <w:left w:val="single" w:color="auto" w:sz="4" w:space="0"/>
              <w:bottom w:val="single" w:color="000000" w:sz="2" w:space="0"/>
              <w:right w:val="single" w:color="auto" w:sz="4" w:space="0"/>
            </w:tcBorders>
            <w:noWrap w:val="0"/>
            <w:vAlign w:val="center"/>
          </w:tcPr>
          <w:p w14:paraId="55AA2043">
            <w:pPr>
              <w:ind w:firstLine="480"/>
              <w:jc w:val="center"/>
              <w:rPr>
                <w:rFonts w:hint="eastAsia" w:ascii="宋体" w:hAnsi="宋体"/>
                <w:color w:val="auto"/>
                <w:sz w:val="24"/>
                <w:highlight w:val="none"/>
              </w:rPr>
            </w:pPr>
          </w:p>
        </w:tc>
        <w:tc>
          <w:tcPr>
            <w:tcW w:w="2409" w:type="dxa"/>
            <w:tcBorders>
              <w:top w:val="single" w:color="auto" w:sz="4" w:space="0"/>
              <w:left w:val="single" w:color="auto" w:sz="4" w:space="0"/>
              <w:bottom w:val="single" w:color="000000" w:sz="2" w:space="0"/>
              <w:right w:val="single" w:color="000000" w:sz="2" w:space="0"/>
            </w:tcBorders>
            <w:noWrap w:val="0"/>
            <w:vAlign w:val="center"/>
          </w:tcPr>
          <w:p w14:paraId="04166EE4">
            <w:pPr>
              <w:ind w:firstLine="480"/>
              <w:jc w:val="center"/>
              <w:rPr>
                <w:rFonts w:hint="eastAsia" w:ascii="宋体" w:hAnsi="宋体"/>
                <w:color w:val="auto"/>
                <w:sz w:val="24"/>
                <w:highlight w:val="none"/>
              </w:rPr>
            </w:pPr>
          </w:p>
        </w:tc>
        <w:tc>
          <w:tcPr>
            <w:tcW w:w="1890" w:type="dxa"/>
            <w:tcBorders>
              <w:top w:val="single" w:color="auto" w:sz="4" w:space="0"/>
              <w:left w:val="single" w:color="auto" w:sz="4" w:space="0"/>
              <w:bottom w:val="single" w:color="000000" w:sz="2" w:space="0"/>
              <w:right w:val="single" w:color="000000" w:sz="2" w:space="0"/>
            </w:tcBorders>
            <w:noWrap w:val="0"/>
            <w:vAlign w:val="center"/>
          </w:tcPr>
          <w:p w14:paraId="3E8034CA">
            <w:pPr>
              <w:ind w:firstLine="480"/>
              <w:jc w:val="center"/>
              <w:rPr>
                <w:rFonts w:hint="eastAsia" w:ascii="宋体" w:hAnsi="宋体"/>
                <w:color w:val="auto"/>
                <w:sz w:val="24"/>
                <w:highlight w:val="none"/>
              </w:rPr>
            </w:pPr>
          </w:p>
        </w:tc>
      </w:tr>
      <w:tr w14:paraId="4A622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noWrap w:val="0"/>
            <w:vAlign w:val="center"/>
          </w:tcPr>
          <w:p w14:paraId="39A18DD2">
            <w:pPr>
              <w:ind w:firstLine="240"/>
              <w:rPr>
                <w:rFonts w:hint="eastAsia" w:ascii="宋体" w:hAnsi="宋体"/>
                <w:color w:val="auto"/>
                <w:sz w:val="24"/>
                <w:highlight w:val="none"/>
              </w:rPr>
            </w:pPr>
            <w:r>
              <w:rPr>
                <w:rFonts w:ascii="宋体" w:hAnsi="宋体"/>
                <w:color w:val="auto"/>
                <w:sz w:val="24"/>
                <w:highlight w:val="none"/>
              </w:rPr>
              <w:t>…</w:t>
            </w:r>
          </w:p>
        </w:tc>
        <w:tc>
          <w:tcPr>
            <w:tcW w:w="1260" w:type="dxa"/>
            <w:tcBorders>
              <w:top w:val="single" w:color="auto" w:sz="4" w:space="0"/>
              <w:left w:val="single" w:color="auto" w:sz="4" w:space="0"/>
              <w:bottom w:val="single" w:color="000000" w:sz="2" w:space="0"/>
              <w:right w:val="single" w:color="auto" w:sz="4" w:space="0"/>
            </w:tcBorders>
            <w:noWrap w:val="0"/>
            <w:vAlign w:val="top"/>
          </w:tcPr>
          <w:p w14:paraId="3D1CBC17">
            <w:pPr>
              <w:ind w:firstLine="480"/>
              <w:jc w:val="center"/>
              <w:rPr>
                <w:rFonts w:hint="eastAsia" w:ascii="宋体" w:hAnsi="宋体"/>
                <w:color w:val="auto"/>
                <w:sz w:val="24"/>
                <w:highlight w:val="none"/>
              </w:rPr>
            </w:pPr>
          </w:p>
        </w:tc>
        <w:tc>
          <w:tcPr>
            <w:tcW w:w="1205" w:type="dxa"/>
            <w:tcBorders>
              <w:top w:val="single" w:color="auto" w:sz="4" w:space="0"/>
              <w:left w:val="single" w:color="auto" w:sz="4" w:space="0"/>
              <w:bottom w:val="single" w:color="000000" w:sz="2" w:space="0"/>
              <w:right w:val="single" w:color="000000" w:sz="2" w:space="0"/>
            </w:tcBorders>
            <w:noWrap w:val="0"/>
            <w:vAlign w:val="center"/>
          </w:tcPr>
          <w:p w14:paraId="5A3EE248">
            <w:pPr>
              <w:ind w:firstLine="480"/>
              <w:jc w:val="center"/>
              <w:rPr>
                <w:rFonts w:hint="eastAsia" w:ascii="宋体" w:hAnsi="宋体"/>
                <w:color w:val="auto"/>
                <w:sz w:val="24"/>
                <w:highlight w:val="none"/>
              </w:rPr>
            </w:pPr>
          </w:p>
        </w:tc>
        <w:tc>
          <w:tcPr>
            <w:tcW w:w="906" w:type="dxa"/>
            <w:tcBorders>
              <w:top w:val="single" w:color="auto" w:sz="4" w:space="0"/>
              <w:left w:val="single" w:color="auto" w:sz="4" w:space="0"/>
              <w:bottom w:val="single" w:color="000000" w:sz="2" w:space="0"/>
              <w:right w:val="single" w:color="auto" w:sz="4" w:space="0"/>
            </w:tcBorders>
            <w:noWrap w:val="0"/>
            <w:vAlign w:val="top"/>
          </w:tcPr>
          <w:p w14:paraId="414866C2">
            <w:pPr>
              <w:ind w:firstLine="480"/>
              <w:jc w:val="center"/>
              <w:rPr>
                <w:rFonts w:hint="eastAsia" w:ascii="宋体" w:hAnsi="宋体"/>
                <w:color w:val="auto"/>
                <w:sz w:val="24"/>
                <w:highlight w:val="none"/>
              </w:rPr>
            </w:pPr>
          </w:p>
        </w:tc>
        <w:tc>
          <w:tcPr>
            <w:tcW w:w="713" w:type="dxa"/>
            <w:tcBorders>
              <w:top w:val="single" w:color="auto" w:sz="4" w:space="0"/>
              <w:left w:val="single" w:color="auto" w:sz="4" w:space="0"/>
              <w:bottom w:val="single" w:color="000000" w:sz="2" w:space="0"/>
              <w:right w:val="single" w:color="auto" w:sz="4" w:space="0"/>
            </w:tcBorders>
            <w:noWrap w:val="0"/>
            <w:vAlign w:val="top"/>
          </w:tcPr>
          <w:p w14:paraId="62825768">
            <w:pPr>
              <w:ind w:firstLine="480"/>
              <w:jc w:val="center"/>
              <w:rPr>
                <w:rFonts w:hint="eastAsia" w:ascii="宋体" w:hAnsi="宋体"/>
                <w:color w:val="auto"/>
                <w:sz w:val="24"/>
                <w:highlight w:val="none"/>
              </w:rPr>
            </w:pPr>
          </w:p>
        </w:tc>
        <w:tc>
          <w:tcPr>
            <w:tcW w:w="966" w:type="dxa"/>
            <w:tcBorders>
              <w:top w:val="single" w:color="auto" w:sz="4" w:space="0"/>
              <w:left w:val="single" w:color="auto" w:sz="4" w:space="0"/>
              <w:bottom w:val="single" w:color="000000" w:sz="2" w:space="0"/>
              <w:right w:val="single" w:color="auto" w:sz="4" w:space="0"/>
            </w:tcBorders>
            <w:noWrap w:val="0"/>
            <w:vAlign w:val="center"/>
          </w:tcPr>
          <w:p w14:paraId="47016E8B">
            <w:pPr>
              <w:ind w:firstLine="480"/>
              <w:jc w:val="center"/>
              <w:rPr>
                <w:rFonts w:hint="eastAsia" w:ascii="宋体" w:hAnsi="宋体"/>
                <w:color w:val="auto"/>
                <w:sz w:val="24"/>
                <w:highlight w:val="none"/>
              </w:rPr>
            </w:pPr>
          </w:p>
        </w:tc>
        <w:tc>
          <w:tcPr>
            <w:tcW w:w="2409" w:type="dxa"/>
            <w:tcBorders>
              <w:top w:val="single" w:color="auto" w:sz="4" w:space="0"/>
              <w:left w:val="single" w:color="auto" w:sz="4" w:space="0"/>
              <w:bottom w:val="single" w:color="000000" w:sz="2" w:space="0"/>
              <w:right w:val="single" w:color="000000" w:sz="2" w:space="0"/>
            </w:tcBorders>
            <w:noWrap w:val="0"/>
            <w:vAlign w:val="center"/>
          </w:tcPr>
          <w:p w14:paraId="7B6A1A19">
            <w:pPr>
              <w:ind w:firstLine="480"/>
              <w:jc w:val="center"/>
              <w:rPr>
                <w:rFonts w:hint="eastAsia" w:ascii="宋体" w:hAnsi="宋体"/>
                <w:color w:val="auto"/>
                <w:sz w:val="24"/>
                <w:highlight w:val="none"/>
              </w:rPr>
            </w:pPr>
          </w:p>
        </w:tc>
        <w:tc>
          <w:tcPr>
            <w:tcW w:w="1890" w:type="dxa"/>
            <w:tcBorders>
              <w:top w:val="single" w:color="auto" w:sz="4" w:space="0"/>
              <w:left w:val="single" w:color="auto" w:sz="4" w:space="0"/>
              <w:bottom w:val="single" w:color="000000" w:sz="2" w:space="0"/>
              <w:right w:val="single" w:color="000000" w:sz="2" w:space="0"/>
            </w:tcBorders>
            <w:noWrap w:val="0"/>
            <w:vAlign w:val="center"/>
          </w:tcPr>
          <w:p w14:paraId="3D09D54F">
            <w:pPr>
              <w:ind w:firstLine="480"/>
              <w:jc w:val="center"/>
              <w:rPr>
                <w:rFonts w:hint="eastAsia" w:ascii="宋体" w:hAnsi="宋体"/>
                <w:color w:val="auto"/>
                <w:sz w:val="24"/>
                <w:highlight w:val="none"/>
              </w:rPr>
            </w:pPr>
          </w:p>
        </w:tc>
      </w:tr>
    </w:tbl>
    <w:p w14:paraId="72808E0C">
      <w:pPr>
        <w:spacing w:line="360" w:lineRule="auto"/>
        <w:ind w:firstLine="480"/>
        <w:rPr>
          <w:rFonts w:hint="eastAsia" w:ascii="宋体" w:hAnsi="宋体"/>
          <w:color w:val="auto"/>
          <w:sz w:val="24"/>
          <w:highlight w:val="none"/>
        </w:rPr>
      </w:pPr>
      <w:r>
        <w:rPr>
          <w:rFonts w:hint="eastAsia" w:ascii="宋体" w:hAnsi="宋体"/>
          <w:color w:val="auto"/>
          <w:sz w:val="24"/>
          <w:highlight w:val="none"/>
        </w:rPr>
        <w:t>注：1.根据招标文件及评分标准相关要求填写，并提供相关的证明材料</w:t>
      </w:r>
      <w:r>
        <w:rPr>
          <w:rFonts w:hint="eastAsia" w:ascii="宋体" w:hAnsi="宋体"/>
          <w:color w:val="auto"/>
          <w:sz w:val="24"/>
          <w:highlight w:val="none"/>
          <w:lang w:eastAsia="zh-CN"/>
        </w:rPr>
        <w:t>（</w:t>
      </w:r>
      <w:r>
        <w:rPr>
          <w:rFonts w:hint="eastAsia" w:ascii="宋体" w:hAnsi="宋体"/>
          <w:b/>
          <w:bCs/>
          <w:color w:val="auto"/>
          <w:sz w:val="24"/>
          <w:highlight w:val="none"/>
          <w:lang w:eastAsia="zh-CN"/>
        </w:rPr>
        <w:t>配备人员身份证</w:t>
      </w:r>
      <w:r>
        <w:rPr>
          <w:rFonts w:hint="eastAsia" w:ascii="宋体" w:hAnsi="宋体"/>
          <w:b/>
          <w:bCs/>
          <w:color w:val="auto"/>
          <w:sz w:val="24"/>
          <w:highlight w:val="none"/>
          <w:lang w:val="en-US" w:eastAsia="zh-CN"/>
        </w:rPr>
        <w:t>扫描件</w:t>
      </w:r>
      <w:r>
        <w:rPr>
          <w:rFonts w:hint="eastAsia" w:ascii="宋体" w:hAnsi="宋体"/>
          <w:b/>
          <w:bCs/>
          <w:color w:val="auto"/>
          <w:sz w:val="24"/>
          <w:highlight w:val="none"/>
          <w:lang w:eastAsia="zh-CN"/>
        </w:rPr>
        <w:t>等</w:t>
      </w:r>
      <w:r>
        <w:rPr>
          <w:rFonts w:hint="eastAsia" w:ascii="宋体" w:hAnsi="宋体"/>
          <w:color w:val="auto"/>
          <w:sz w:val="24"/>
          <w:highlight w:val="none"/>
          <w:lang w:eastAsia="zh-CN"/>
        </w:rPr>
        <w:t>）</w:t>
      </w:r>
      <w:r>
        <w:rPr>
          <w:rFonts w:hint="eastAsia" w:ascii="宋体" w:hAnsi="宋体"/>
          <w:color w:val="auto"/>
          <w:sz w:val="24"/>
          <w:highlight w:val="none"/>
        </w:rPr>
        <w:t>；</w:t>
      </w:r>
    </w:p>
    <w:p w14:paraId="1E59A511">
      <w:pPr>
        <w:spacing w:line="360" w:lineRule="auto"/>
        <w:ind w:firstLine="480"/>
        <w:rPr>
          <w:rFonts w:ascii="宋体" w:hAnsi="宋体"/>
          <w:color w:val="auto"/>
          <w:sz w:val="24"/>
          <w:highlight w:val="none"/>
        </w:rPr>
      </w:pPr>
      <w:r>
        <w:rPr>
          <w:rFonts w:hint="eastAsia" w:ascii="宋体" w:hAnsi="宋体"/>
          <w:color w:val="auto"/>
          <w:sz w:val="24"/>
          <w:highlight w:val="none"/>
        </w:rPr>
        <w:t>2.表格不够填写可添加；</w:t>
      </w:r>
    </w:p>
    <w:p w14:paraId="48E473A8">
      <w:pPr>
        <w:ind w:firstLine="480"/>
        <w:rPr>
          <w:rFonts w:hint="eastAsia"/>
        </w:rPr>
      </w:pPr>
      <w:r>
        <w:rPr>
          <w:rFonts w:hint="eastAsia" w:ascii="宋体" w:hAnsi="宋体"/>
          <w:color w:val="auto"/>
          <w:sz w:val="24"/>
          <w:highlight w:val="none"/>
        </w:rPr>
        <w:t>3.以上人员工资、社保须根据劳动法和</w:t>
      </w:r>
      <w:r>
        <w:rPr>
          <w:rFonts w:hint="eastAsia" w:ascii="宋体" w:hAnsi="宋体"/>
          <w:color w:val="auto"/>
          <w:sz w:val="24"/>
          <w:highlight w:val="none"/>
          <w:lang w:val="en-US" w:eastAsia="zh-CN"/>
        </w:rPr>
        <w:t>盐城市</w:t>
      </w:r>
      <w:r>
        <w:rPr>
          <w:rFonts w:hint="eastAsia" w:ascii="宋体" w:hAnsi="宋体"/>
          <w:color w:val="auto"/>
          <w:sz w:val="24"/>
          <w:highlight w:val="none"/>
        </w:rPr>
        <w:t>相关要求缴纳；</w:t>
      </w:r>
    </w:p>
    <w:p w14:paraId="73BC1E8B">
      <w:pPr>
        <w:pStyle w:val="13"/>
        <w:spacing w:beforeAutospacing="0" w:afterAutospacing="0"/>
        <w:jc w:val="center"/>
        <w:rPr>
          <w:rFonts w:hint="eastAsia" w:ascii="黑体" w:eastAsia="黑体" w:cs="黑体"/>
          <w:b/>
          <w:color w:val="000000"/>
          <w:sz w:val="32"/>
          <w:szCs w:val="32"/>
          <w:lang w:val="en-US" w:eastAsia="zh-CN"/>
        </w:rPr>
      </w:pPr>
    </w:p>
    <w:p w14:paraId="2BDB6CE0">
      <w:pPr>
        <w:pStyle w:val="13"/>
        <w:spacing w:beforeAutospacing="0" w:afterAutospacing="0"/>
        <w:jc w:val="center"/>
        <w:rPr>
          <w:rFonts w:hint="eastAsia" w:ascii="黑体" w:eastAsia="黑体" w:cs="黑体"/>
          <w:b/>
          <w:color w:val="000000"/>
          <w:sz w:val="32"/>
          <w:szCs w:val="32"/>
          <w:lang w:val="en-US" w:eastAsia="zh-CN"/>
        </w:rPr>
        <w:sectPr>
          <w:pgSz w:w="11906" w:h="16838"/>
          <w:pgMar w:top="1440" w:right="1587" w:bottom="1440" w:left="1587" w:header="851" w:footer="907" w:gutter="0"/>
          <w:cols w:space="720" w:num="1"/>
          <w:docGrid w:linePitch="360" w:charSpace="0"/>
        </w:sectPr>
      </w:pPr>
    </w:p>
    <w:p w14:paraId="6E25AA17">
      <w:pPr>
        <w:spacing w:before="50" w:after="50"/>
        <w:jc w:val="center"/>
        <w:rPr>
          <w:rFonts w:hint="eastAsia" w:ascii="黑体" w:hAnsi="黑体" w:eastAsia="黑体" w:cs="黑体"/>
          <w:b/>
          <w:sz w:val="36"/>
          <w:szCs w:val="36"/>
          <w:lang w:val="en-US" w:eastAsia="zh-CN"/>
        </w:rPr>
      </w:pPr>
      <w:r>
        <w:rPr>
          <w:rFonts w:hint="eastAsia" w:ascii="黑体" w:hAnsi="黑体" w:eastAsia="黑体" w:cs="黑体"/>
          <w:b/>
          <w:sz w:val="36"/>
          <w:szCs w:val="36"/>
          <w:lang w:val="en-US" w:eastAsia="zh-CN"/>
        </w:rPr>
        <w:t>（十五）盐城市政府采购事前信用承诺书</w:t>
      </w:r>
    </w:p>
    <w:p w14:paraId="11838690">
      <w:pPr>
        <w:widowControl/>
        <w:spacing w:line="500" w:lineRule="exact"/>
        <w:ind w:firstLine="480"/>
        <w:jc w:val="left"/>
        <w:rPr>
          <w:rFonts w:ascii="宋体" w:hAnsi="宋体"/>
          <w:sz w:val="24"/>
          <w:szCs w:val="24"/>
        </w:rPr>
      </w:pPr>
      <w:r>
        <w:rPr>
          <w:rFonts w:hint="eastAsia" w:ascii="宋体" w:hAnsi="宋体"/>
          <w:sz w:val="24"/>
          <w:szCs w:val="24"/>
        </w:rPr>
        <w:t>为营造我市公开、公平、公正、诚实守信的政府采购交易环境，树立诚信守法的投标人形象，本人代表本单位作出以下承诺：</w:t>
      </w:r>
    </w:p>
    <w:p w14:paraId="4B0B0F4B">
      <w:pPr>
        <w:widowControl/>
        <w:spacing w:line="500" w:lineRule="exact"/>
        <w:jc w:val="left"/>
        <w:rPr>
          <w:rFonts w:ascii="宋体" w:hAnsi="宋体"/>
          <w:sz w:val="24"/>
          <w:szCs w:val="24"/>
        </w:rPr>
      </w:pPr>
      <w:r>
        <w:rPr>
          <w:rFonts w:hint="eastAsia" w:ascii="宋体" w:hAnsi="宋体"/>
          <w:sz w:val="24"/>
          <w:szCs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12DA32CB">
      <w:pPr>
        <w:widowControl/>
        <w:spacing w:line="500" w:lineRule="exact"/>
        <w:ind w:firstLine="480"/>
        <w:jc w:val="left"/>
        <w:rPr>
          <w:rFonts w:ascii="宋体" w:hAnsi="宋体"/>
          <w:sz w:val="24"/>
          <w:szCs w:val="24"/>
        </w:rPr>
      </w:pPr>
      <w:r>
        <w:rPr>
          <w:rFonts w:hint="eastAsia" w:ascii="宋体" w:hAnsi="宋体"/>
          <w:sz w:val="24"/>
          <w:szCs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1DB8B69E">
      <w:pPr>
        <w:widowControl/>
        <w:spacing w:line="500" w:lineRule="exact"/>
        <w:jc w:val="left"/>
        <w:rPr>
          <w:rFonts w:ascii="宋体" w:hAnsi="宋体"/>
          <w:sz w:val="24"/>
          <w:szCs w:val="24"/>
        </w:rPr>
      </w:pPr>
      <w:r>
        <w:rPr>
          <w:rFonts w:hint="eastAsia" w:ascii="宋体" w:hAnsi="宋体"/>
          <w:sz w:val="24"/>
          <w:szCs w:val="24"/>
        </w:rPr>
        <w:t xml:space="preserve">   （三）严格依照国家和省、市关于政府采购的法律、法规、规章、规范性文件，参加政府采购投标活动；积极履行社会责任，促进廉政建设； </w:t>
      </w:r>
    </w:p>
    <w:p w14:paraId="1EE330B4">
      <w:pPr>
        <w:widowControl/>
        <w:spacing w:line="500" w:lineRule="exact"/>
        <w:jc w:val="left"/>
        <w:rPr>
          <w:rFonts w:ascii="宋体" w:hAnsi="宋体"/>
          <w:sz w:val="24"/>
          <w:szCs w:val="24"/>
        </w:rPr>
      </w:pPr>
      <w:r>
        <w:rPr>
          <w:rFonts w:hint="eastAsia" w:ascii="宋体" w:hAnsi="宋体"/>
          <w:sz w:val="24"/>
          <w:szCs w:val="24"/>
        </w:rPr>
        <w:t>   （四）严格遵守即时信息公示规定，及时维护和更新维护和更新盐城市政府采购网中与本单位相关的信息；</w:t>
      </w:r>
    </w:p>
    <w:p w14:paraId="5A6129B5">
      <w:pPr>
        <w:widowControl/>
        <w:spacing w:line="500" w:lineRule="exact"/>
        <w:jc w:val="left"/>
        <w:rPr>
          <w:rFonts w:ascii="宋体" w:hAnsi="宋体"/>
          <w:sz w:val="24"/>
          <w:szCs w:val="24"/>
        </w:rPr>
      </w:pPr>
      <w:r>
        <w:rPr>
          <w:rFonts w:hint="eastAsia" w:ascii="宋体" w:hAnsi="宋体"/>
          <w:sz w:val="24"/>
          <w:szCs w:val="24"/>
        </w:rPr>
        <w:t>   （五）自我约束、自我管理，守合同、重信用，自觉维护政府采购交易的良好秩序，与参与本次政府采购活动的其他投标人不存在直接控股或管理关系，不参与围标串标、弄虚作假、骗取中标、干扰评标、违约毁约等行为；</w:t>
      </w:r>
    </w:p>
    <w:p w14:paraId="53136B7A">
      <w:pPr>
        <w:widowControl/>
        <w:spacing w:line="500" w:lineRule="exact"/>
        <w:jc w:val="left"/>
        <w:rPr>
          <w:rFonts w:ascii="宋体" w:hAnsi="宋体"/>
          <w:sz w:val="24"/>
          <w:szCs w:val="24"/>
        </w:rPr>
      </w:pPr>
      <w:r>
        <w:rPr>
          <w:rFonts w:hint="eastAsia" w:ascii="宋体" w:hAnsi="宋体"/>
          <w:sz w:val="24"/>
          <w:szCs w:val="24"/>
        </w:rPr>
        <w:t>   （六）自觉接受政府、行业组织、社会公众、新闻舆论的监督；</w:t>
      </w:r>
    </w:p>
    <w:p w14:paraId="24A7C322">
      <w:pPr>
        <w:widowControl/>
        <w:spacing w:line="500" w:lineRule="exact"/>
        <w:ind w:firstLine="480"/>
        <w:jc w:val="left"/>
        <w:rPr>
          <w:rFonts w:ascii="宋体" w:hAnsi="宋体"/>
          <w:sz w:val="24"/>
          <w:szCs w:val="24"/>
        </w:rPr>
      </w:pPr>
      <w:r>
        <w:rPr>
          <w:rFonts w:hint="eastAsia" w:ascii="宋体" w:hAnsi="宋体"/>
          <w:sz w:val="24"/>
          <w:szCs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11F6BB00">
      <w:pPr>
        <w:widowControl/>
        <w:spacing w:line="500" w:lineRule="exact"/>
        <w:jc w:val="left"/>
        <w:rPr>
          <w:rFonts w:ascii="宋体" w:hAnsi="宋体"/>
          <w:sz w:val="24"/>
          <w:szCs w:val="24"/>
        </w:rPr>
      </w:pPr>
      <w:r>
        <w:rPr>
          <w:rFonts w:hint="eastAsia" w:ascii="宋体" w:hAnsi="宋体"/>
          <w:sz w:val="24"/>
          <w:szCs w:val="24"/>
        </w:rPr>
        <w:t>   （八）本人已认真阅读了上述承诺，并向本单位员工作了宣传教育。</w:t>
      </w:r>
    </w:p>
    <w:p w14:paraId="0F2179DC">
      <w:pPr>
        <w:widowControl/>
        <w:spacing w:line="500" w:lineRule="exact"/>
        <w:jc w:val="left"/>
        <w:rPr>
          <w:rFonts w:ascii="宋体" w:hAnsi="宋体"/>
          <w:sz w:val="24"/>
          <w:szCs w:val="24"/>
        </w:rPr>
      </w:pPr>
    </w:p>
    <w:p w14:paraId="28115A2D">
      <w:pPr>
        <w:widowControl/>
        <w:spacing w:line="500" w:lineRule="exact"/>
        <w:jc w:val="center"/>
        <w:rPr>
          <w:rFonts w:ascii="宋体" w:hAnsi="宋体"/>
          <w:sz w:val="24"/>
          <w:szCs w:val="24"/>
        </w:rPr>
      </w:pPr>
      <w:r>
        <w:rPr>
          <w:rFonts w:hint="eastAsia" w:ascii="宋体" w:hAnsi="宋体"/>
          <w:sz w:val="24"/>
          <w:szCs w:val="24"/>
        </w:rPr>
        <w:t xml:space="preserve">                 法定代表人签名：</w:t>
      </w:r>
    </w:p>
    <w:p w14:paraId="415AD723">
      <w:pPr>
        <w:widowControl/>
        <w:spacing w:line="500" w:lineRule="exact"/>
        <w:jc w:val="center"/>
        <w:rPr>
          <w:rFonts w:ascii="宋体" w:hAnsi="宋体"/>
          <w:sz w:val="24"/>
          <w:szCs w:val="24"/>
        </w:rPr>
      </w:pPr>
      <w:r>
        <w:rPr>
          <w:rFonts w:hint="eastAsia" w:ascii="宋体" w:hAnsi="宋体"/>
          <w:sz w:val="24"/>
          <w:szCs w:val="24"/>
        </w:rPr>
        <w:t xml:space="preserve">                   单位名称（盖章）：</w:t>
      </w:r>
    </w:p>
    <w:p w14:paraId="35D3630C">
      <w:pPr>
        <w:widowControl/>
        <w:spacing w:line="500" w:lineRule="exact"/>
        <w:jc w:val="center"/>
        <w:rPr>
          <w:rFonts w:hint="eastAsia" w:eastAsia="宋体"/>
          <w:lang w:val="en-US" w:eastAsia="zh-CN"/>
        </w:rPr>
      </w:pPr>
      <w:r>
        <w:rPr>
          <w:rFonts w:hint="eastAsia" w:ascii="宋体" w:hAnsi="宋体"/>
          <w:sz w:val="24"/>
          <w:szCs w:val="24"/>
        </w:rPr>
        <w:t xml:space="preserve">                      年    月    </w:t>
      </w:r>
      <w:r>
        <w:rPr>
          <w:rFonts w:hint="eastAsia" w:ascii="宋体" w:hAnsi="宋体"/>
          <w:sz w:val="24"/>
          <w:szCs w:val="24"/>
          <w:lang w:val="en-US" w:eastAsia="zh-CN"/>
        </w:rPr>
        <w:t>日</w:t>
      </w:r>
    </w:p>
    <w:p w14:paraId="644A5BB6"/>
    <w:p w14:paraId="7CE29782"/>
    <w:p w14:paraId="04FCF955"/>
    <w:p w14:paraId="4CD3296E">
      <w:pPr>
        <w:pageBreakBefore w:val="0"/>
        <w:widowControl/>
        <w:kinsoku/>
        <w:wordWrap/>
        <w:overflowPunct/>
        <w:topLinePunct w:val="0"/>
        <w:autoSpaceDE/>
        <w:autoSpaceDN/>
        <w:bidi w:val="0"/>
        <w:adjustRightInd/>
        <w:snapToGrid/>
        <w:spacing w:line="360" w:lineRule="auto"/>
        <w:jc w:val="center"/>
        <w:rPr>
          <w:rStyle w:val="24"/>
          <w:rFonts w:ascii="宋体" w:hAnsi="宋体" w:cs="宋体"/>
          <w:b/>
          <w:bCs/>
          <w:color w:val="auto"/>
          <w:sz w:val="32"/>
          <w:szCs w:val="32"/>
          <w:highlight w:val="none"/>
        </w:rPr>
      </w:pPr>
      <w:r>
        <w:rPr>
          <w:rStyle w:val="24"/>
          <w:rFonts w:ascii="宋体" w:hAnsi="宋体" w:cs="宋体"/>
          <w:b/>
          <w:bCs/>
          <w:color w:val="auto"/>
          <w:sz w:val="32"/>
          <w:szCs w:val="32"/>
          <w:highlight w:val="none"/>
        </w:rPr>
        <w:t>盐城市大丰区政府招标采购供应商承诺书</w:t>
      </w:r>
    </w:p>
    <w:p w14:paraId="311768A5">
      <w:pPr>
        <w:spacing w:line="400" w:lineRule="exact"/>
        <w:ind w:firstLine="720" w:firstLineChars="200"/>
        <w:rPr>
          <w:rStyle w:val="24"/>
          <w:rFonts w:hint="eastAsia" w:ascii="宋体" w:hAnsi="宋体" w:eastAsia="宋体"/>
          <w:color w:val="auto"/>
          <w:sz w:val="36"/>
          <w:szCs w:val="36"/>
          <w:highlight w:val="none"/>
          <w:lang w:eastAsia="zh-CN"/>
        </w:rPr>
      </w:pPr>
    </w:p>
    <w:p w14:paraId="212B1025">
      <w:pPr>
        <w:spacing w:line="340" w:lineRule="exact"/>
        <w:ind w:firstLine="480" w:firstLineChars="200"/>
        <w:rPr>
          <w:rStyle w:val="24"/>
          <w:rFonts w:ascii="宋体" w:hAnsi="宋体"/>
          <w:color w:val="auto"/>
          <w:sz w:val="24"/>
          <w:szCs w:val="24"/>
          <w:highlight w:val="none"/>
          <w:u w:val="single" w:color="000000"/>
        </w:rPr>
      </w:pPr>
      <w:r>
        <w:rPr>
          <w:rStyle w:val="24"/>
          <w:rFonts w:ascii="宋体" w:hAnsi="宋体"/>
          <w:color w:val="auto"/>
          <w:sz w:val="24"/>
          <w:szCs w:val="24"/>
          <w:highlight w:val="none"/>
        </w:rPr>
        <w:t>为营造公开、公平、公正、诚实守信的政府招标采购交易环境，树立诚信守法的投标人形象，本单位参加政府招标采购项目</w:t>
      </w:r>
      <w:r>
        <w:rPr>
          <w:rStyle w:val="24"/>
          <w:rFonts w:ascii="宋体" w:hAnsi="宋体"/>
          <w:color w:val="auto"/>
          <w:sz w:val="24"/>
          <w:szCs w:val="24"/>
          <w:highlight w:val="none"/>
          <w:u w:val="single" w:color="000000"/>
        </w:rPr>
        <w:t xml:space="preserve">：                                       </w:t>
      </w:r>
    </w:p>
    <w:p w14:paraId="4041AEEA">
      <w:pPr>
        <w:spacing w:line="340" w:lineRule="exact"/>
        <w:rPr>
          <w:rStyle w:val="24"/>
          <w:rFonts w:ascii="宋体" w:hAnsi="宋体"/>
          <w:color w:val="auto"/>
          <w:sz w:val="24"/>
          <w:szCs w:val="24"/>
          <w:highlight w:val="none"/>
        </w:rPr>
      </w:pPr>
      <w:r>
        <w:rPr>
          <w:rStyle w:val="24"/>
          <w:rFonts w:ascii="宋体" w:hAnsi="宋体"/>
          <w:color w:val="auto"/>
          <w:sz w:val="24"/>
          <w:szCs w:val="24"/>
          <w:highlight w:val="none"/>
        </w:rPr>
        <w:t>的招标采购活动，本人代表本单位作出以下承诺：</w:t>
      </w:r>
    </w:p>
    <w:p w14:paraId="2B5615AF">
      <w:pPr>
        <w:spacing w:line="340" w:lineRule="exact"/>
        <w:ind w:firstLine="480" w:firstLineChars="200"/>
        <w:rPr>
          <w:rStyle w:val="24"/>
          <w:rFonts w:ascii="宋体" w:hAnsi="宋体"/>
          <w:color w:val="auto"/>
          <w:sz w:val="24"/>
          <w:szCs w:val="24"/>
          <w:highlight w:val="none"/>
        </w:rPr>
      </w:pPr>
      <w:r>
        <w:rPr>
          <w:rStyle w:val="24"/>
          <w:rFonts w:ascii="宋体" w:hAnsi="宋体"/>
          <w:color w:val="auto"/>
          <w:sz w:val="24"/>
          <w:szCs w:val="24"/>
          <w:highlight w:val="none"/>
        </w:rPr>
        <w:t>（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7017D056">
      <w:pPr>
        <w:spacing w:line="340" w:lineRule="exact"/>
        <w:ind w:firstLine="480" w:firstLineChars="200"/>
        <w:rPr>
          <w:rStyle w:val="24"/>
          <w:rFonts w:ascii="宋体" w:hAnsi="宋体"/>
          <w:color w:val="auto"/>
          <w:sz w:val="24"/>
          <w:szCs w:val="24"/>
          <w:highlight w:val="none"/>
        </w:rPr>
      </w:pPr>
      <w:r>
        <w:rPr>
          <w:rStyle w:val="24"/>
          <w:rFonts w:ascii="宋体" w:hAnsi="宋体"/>
          <w:color w:val="auto"/>
          <w:sz w:val="24"/>
          <w:szCs w:val="24"/>
          <w:highlight w:val="none"/>
        </w:rPr>
        <w:t>（二）本单位无涉及政府招标采购活动的违法、违规不良记录，我公司及相关负责人无因存在重大隐患整改不力、发生有重大社会影响生产安全事故或其他严重违法违规行为而被列入失信联合惩戒的不良记录；</w:t>
      </w:r>
    </w:p>
    <w:p w14:paraId="4CFC51E8">
      <w:pPr>
        <w:spacing w:line="340" w:lineRule="exact"/>
        <w:ind w:firstLine="480" w:firstLineChars="200"/>
        <w:rPr>
          <w:rStyle w:val="24"/>
          <w:rFonts w:ascii="宋体" w:hAnsi="宋体"/>
          <w:color w:val="auto"/>
          <w:sz w:val="24"/>
          <w:szCs w:val="24"/>
          <w:highlight w:val="none"/>
        </w:rPr>
      </w:pPr>
      <w:r>
        <w:rPr>
          <w:rStyle w:val="24"/>
          <w:rFonts w:ascii="宋体" w:hAnsi="宋体"/>
          <w:color w:val="auto"/>
          <w:sz w:val="24"/>
          <w:szCs w:val="24"/>
          <w:highlight w:val="none"/>
        </w:rPr>
        <w:t xml:space="preserve">（三）严格依照国家和省、市关于政府招标采购的法律、法规、规章、规范性文件，参加政府招标采购的投标活动；积极履行社会责任，促进廉政建设； </w:t>
      </w:r>
    </w:p>
    <w:p w14:paraId="01F7B9DA">
      <w:pPr>
        <w:spacing w:line="340" w:lineRule="exact"/>
        <w:rPr>
          <w:rStyle w:val="24"/>
          <w:rFonts w:ascii="宋体" w:hAnsi="宋体"/>
          <w:color w:val="auto"/>
          <w:sz w:val="24"/>
          <w:szCs w:val="24"/>
          <w:highlight w:val="none"/>
        </w:rPr>
      </w:pPr>
      <w:r>
        <w:rPr>
          <w:rStyle w:val="24"/>
          <w:rFonts w:ascii="宋体" w:hAnsi="宋体"/>
          <w:color w:val="auto"/>
          <w:sz w:val="24"/>
          <w:szCs w:val="24"/>
          <w:highlight w:val="none"/>
        </w:rPr>
        <w:t>   （四）严格遵守即时信息公示规定，及时维护和更新盐城市政府采购网、公共资源交易平台中与本单位相关的信息；</w:t>
      </w:r>
    </w:p>
    <w:p w14:paraId="68C4DA28">
      <w:pPr>
        <w:spacing w:line="340" w:lineRule="exact"/>
        <w:ind w:firstLine="367"/>
        <w:rPr>
          <w:rStyle w:val="24"/>
          <w:rFonts w:ascii="宋体" w:hAnsi="宋体"/>
          <w:color w:val="auto"/>
          <w:sz w:val="24"/>
          <w:szCs w:val="24"/>
          <w:highlight w:val="none"/>
        </w:rPr>
      </w:pPr>
      <w:r>
        <w:rPr>
          <w:rStyle w:val="24"/>
          <w:rFonts w:ascii="宋体" w:hAnsi="宋体"/>
          <w:color w:val="auto"/>
          <w:sz w:val="24"/>
          <w:szCs w:val="24"/>
          <w:highlight w:val="none"/>
        </w:rPr>
        <w:t>（五）自我约束、自我管理，守合同、重信用，自觉维护政府招标采购交易的良好秩序，与参与本次政府招标采购活动的其他供应商不存在直接控股或管理关系，不参与围标串标、弄虚作假、骗取中标、干扰评标、违约毁约等行为；</w:t>
      </w:r>
    </w:p>
    <w:p w14:paraId="0728271F">
      <w:pPr>
        <w:spacing w:line="340" w:lineRule="exact"/>
        <w:ind w:firstLine="367"/>
        <w:rPr>
          <w:rStyle w:val="24"/>
          <w:rFonts w:ascii="宋体" w:hAnsi="宋体"/>
          <w:color w:val="auto"/>
          <w:sz w:val="24"/>
          <w:szCs w:val="24"/>
          <w:highlight w:val="none"/>
        </w:rPr>
      </w:pPr>
      <w:r>
        <w:rPr>
          <w:rStyle w:val="24"/>
          <w:rFonts w:ascii="宋体" w:hAnsi="宋体"/>
          <w:color w:val="auto"/>
          <w:sz w:val="24"/>
          <w:szCs w:val="24"/>
          <w:highlight w:val="none"/>
        </w:rPr>
        <w:t>（六）自觉接受政府、行业组织、社会公众、新闻舆论的监督；</w:t>
      </w:r>
    </w:p>
    <w:p w14:paraId="42F042A6">
      <w:pPr>
        <w:spacing w:line="340" w:lineRule="exact"/>
        <w:ind w:firstLine="367"/>
        <w:rPr>
          <w:rStyle w:val="24"/>
          <w:rFonts w:ascii="宋体" w:hAnsi="宋体"/>
          <w:color w:val="auto"/>
          <w:sz w:val="24"/>
          <w:szCs w:val="24"/>
          <w:highlight w:val="none"/>
        </w:rPr>
      </w:pPr>
      <w:r>
        <w:rPr>
          <w:rStyle w:val="24"/>
          <w:rFonts w:ascii="宋体" w:hAnsi="宋体"/>
          <w:color w:val="auto"/>
          <w:sz w:val="24"/>
          <w:szCs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3C824347">
      <w:pPr>
        <w:spacing w:line="340" w:lineRule="exact"/>
        <w:ind w:firstLine="367"/>
        <w:rPr>
          <w:rStyle w:val="24"/>
          <w:rFonts w:ascii="宋体" w:hAnsi="宋体"/>
          <w:color w:val="auto"/>
          <w:sz w:val="24"/>
          <w:szCs w:val="24"/>
          <w:highlight w:val="none"/>
        </w:rPr>
      </w:pPr>
      <w:r>
        <w:rPr>
          <w:rStyle w:val="24"/>
          <w:rFonts w:ascii="宋体" w:hAnsi="宋体"/>
          <w:color w:val="auto"/>
          <w:sz w:val="24"/>
          <w:szCs w:val="24"/>
          <w:highlight w:val="none"/>
        </w:rPr>
        <w:t>（八）本人已认真阅读了上述承诺，并向本单位员工作了宣传教育。</w:t>
      </w:r>
    </w:p>
    <w:p w14:paraId="0952EDB0">
      <w:pPr>
        <w:spacing w:line="340" w:lineRule="exact"/>
        <w:ind w:firstLine="480" w:firstLineChars="200"/>
        <w:rPr>
          <w:rStyle w:val="24"/>
          <w:rFonts w:ascii="宋体" w:hAnsi="宋体"/>
          <w:color w:val="auto"/>
          <w:sz w:val="24"/>
          <w:szCs w:val="24"/>
          <w:highlight w:val="none"/>
        </w:rPr>
      </w:pPr>
    </w:p>
    <w:p w14:paraId="3BA96036">
      <w:pPr>
        <w:spacing w:line="340" w:lineRule="exact"/>
        <w:ind w:firstLine="480" w:firstLineChars="200"/>
        <w:rPr>
          <w:rStyle w:val="24"/>
          <w:rFonts w:ascii="宋体" w:hAnsi="宋体"/>
          <w:color w:val="auto"/>
          <w:sz w:val="24"/>
          <w:szCs w:val="24"/>
          <w:highlight w:val="none"/>
        </w:rPr>
      </w:pPr>
    </w:p>
    <w:p w14:paraId="4BB810F0">
      <w:pPr>
        <w:spacing w:line="340" w:lineRule="exact"/>
        <w:ind w:firstLine="480" w:firstLineChars="200"/>
        <w:rPr>
          <w:rStyle w:val="24"/>
          <w:rFonts w:ascii="宋体" w:hAnsi="宋体"/>
          <w:color w:val="auto"/>
          <w:sz w:val="24"/>
          <w:szCs w:val="24"/>
          <w:highlight w:val="none"/>
        </w:rPr>
      </w:pPr>
      <w:r>
        <w:rPr>
          <w:rStyle w:val="24"/>
          <w:rFonts w:ascii="宋体" w:hAnsi="宋体"/>
          <w:color w:val="auto"/>
          <w:sz w:val="24"/>
          <w:szCs w:val="24"/>
          <w:highlight w:val="none"/>
        </w:rPr>
        <w:t>法定代表人签名：           单位名称（盖章）：</w:t>
      </w:r>
    </w:p>
    <w:p w14:paraId="53B855C6">
      <w:pPr>
        <w:spacing w:line="340" w:lineRule="exact"/>
        <w:rPr>
          <w:rStyle w:val="24"/>
          <w:rFonts w:ascii="宋体" w:hAnsi="宋体"/>
          <w:color w:val="auto"/>
          <w:sz w:val="24"/>
          <w:szCs w:val="24"/>
          <w:highlight w:val="none"/>
        </w:rPr>
      </w:pPr>
    </w:p>
    <w:p w14:paraId="5B111A18">
      <w:pPr>
        <w:spacing w:line="340" w:lineRule="exact"/>
        <w:ind w:firstLine="4320" w:firstLineChars="1800"/>
        <w:rPr>
          <w:rStyle w:val="24"/>
          <w:rFonts w:ascii="宋体" w:hAnsi="宋体"/>
          <w:color w:val="auto"/>
          <w:sz w:val="24"/>
          <w:szCs w:val="24"/>
          <w:highlight w:val="none"/>
        </w:rPr>
      </w:pPr>
      <w:r>
        <w:rPr>
          <w:rStyle w:val="24"/>
          <w:rFonts w:ascii="宋体" w:hAnsi="宋体"/>
          <w:color w:val="auto"/>
          <w:sz w:val="24"/>
          <w:szCs w:val="24"/>
          <w:highlight w:val="none"/>
        </w:rPr>
        <w:t>年    月    日</w:t>
      </w:r>
    </w:p>
    <w:p w14:paraId="65E3CEDE"/>
    <w:sectPr>
      <w:pgSz w:w="11906" w:h="16838"/>
      <w:pgMar w:top="1440" w:right="1587" w:bottom="1440" w:left="1587" w:header="851" w:footer="907"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0"/>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998D2EEC-C2D2-4B29-93C7-1AC84AC7132F}"/>
  </w:font>
  <w:font w:name="黑体">
    <w:panose1 w:val="02010609060101010101"/>
    <w:charset w:val="86"/>
    <w:family w:val="auto"/>
    <w:pitch w:val="default"/>
    <w:sig w:usb0="800002BF" w:usb1="38CF7CFA" w:usb2="00000016" w:usb3="00000000" w:csb0="00040001" w:csb1="00000000"/>
    <w:embedRegular r:id="rId2" w:fontKey="{6C082AE8-AE8E-4CD3-A049-CED12AB2FCBF}"/>
  </w:font>
  <w:font w:name="Courier New">
    <w:panose1 w:val="02070309020205020404"/>
    <w:charset w:val="01"/>
    <w:family w:val="modern"/>
    <w:pitch w:val="default"/>
    <w:sig w:usb0="E0002EFF" w:usb1="C0007843" w:usb2="00000009" w:usb3="00000000" w:csb0="400001FF" w:csb1="FFFF0000"/>
    <w:embedRegular r:id="rId3" w:fontKey="{5E146C5A-E979-424E-A57F-9E684FBFB01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embedRegular r:id="rId4" w:fontKey="{A03EA7F7-3736-4144-85BD-2CB761C1D27D}"/>
  </w:font>
  <w:font w:name="仿宋">
    <w:panose1 w:val="02010609060101010101"/>
    <w:charset w:val="86"/>
    <w:family w:val="auto"/>
    <w:pitch w:val="default"/>
    <w:sig w:usb0="800002BF" w:usb1="38CF7CFA" w:usb2="00000016" w:usb3="00000000" w:csb0="00040001" w:csb1="00000000"/>
  </w:font>
  <w:font w:name="Segoe UI">
    <w:panose1 w:val="020B0502040204020203"/>
    <w:charset w:val="00"/>
    <w:family w:val="auto"/>
    <w:pitch w:val="default"/>
    <w:sig w:usb0="E4002EFF" w:usb1="C000E47F" w:usb2="00000009" w:usb3="00000000" w:csb0="200001FF" w:csb1="00000000"/>
    <w:embedRegular r:id="rId5" w:fontKey="{541164AD-2090-442F-8D08-AC4FEAAB7195}"/>
  </w:font>
  <w:font w:name="方正小标宋_GBK">
    <w:panose1 w:val="02000000000000000000"/>
    <w:charset w:val="86"/>
    <w:family w:val="auto"/>
    <w:pitch w:val="default"/>
    <w:sig w:usb0="A00002BF" w:usb1="38CF7CFA" w:usb2="00082016" w:usb3="00000000" w:csb0="00040001" w:csb1="00000000"/>
    <w:embedRegular r:id="rId6" w:fontKey="{A8ABB1C1-BD01-4515-B12B-0A288BB725AE}"/>
  </w:font>
  <w:font w:name="WPSEMBED1">
    <w:panose1 w:val="02000000000000000000"/>
    <w:charset w:val="86"/>
    <w:family w:val="auto"/>
    <w:pitch w:val="default"/>
    <w:sig w:usb0="A00002BF" w:usb1="38CF7CFA" w:usb2="00082016" w:usb3="00000000" w:csb0="00040001"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EE8836">
    <w:pPr>
      <w:pStyle w:val="10"/>
      <w:jc w:val="center"/>
      <w:rPr>
        <w:rFonts w:hint="eastAsia"/>
        <w:b/>
        <w:i/>
      </w:rPr>
    </w:pPr>
    <w:r>
      <w:rPr>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0D0748">
                          <w:pPr>
                            <w:pStyle w:val="1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T5U+I8AgAAbwQAAA4AAABkcnMvZTJvRG9jLnhtbK1UzW7UMBC+I/EO&#10;lu8021ZUq6jZamm1CKlQpII4ex1nY8n2WLa3SXkAeANOXLjzXH0OPudnQYVDD1ysycz4m/m+Gef8&#10;oreG3akQNbmKHx8tOFNOUq3druIfP2xeLDmLSbhaGHKq4vcq8ovV82fnnS/VCbVkahUYQFwsO1/x&#10;NiVfFkWUrbIiHpFXDsGGghUJn2FX1EF0QLemOFkszoqOQu0DSRUjvFdjkE+I4SmA1DRaqiuSe6tc&#10;GlGDMiKBUmy1j3w1dNs0SqabpokqMVNxME3DiSKwt/ksVuei3AXhWy2nFsRTWnjEyQrtUPQAdSWS&#10;YPug/4KyWgaK1KQjSbYYiQyKgMXx4pE2t63wauACqaM/iB7/H6x8d/c+MF1jEzhzwmLgD9++Pnz/&#10;+fDjCzvN8nQ+lsi69chL/Svqc+rkj9m57d5SjXtin2jQoG+CzVqAHUM2pL4/SK36xGSGWJ4slwuE&#10;JGLzB1ALUc7XfYjptSLLslHxgFkO8OLuOqYxdU7J1RxttDHwi9I41lX87PTlYrhwiADcONTIlHLr&#10;I7nUb/uJz5bqezAKNO5J9HKjUfxaxPReBCwGGsbTSTc4GkMoQpPFWUvh87/8OR/zQpSzDotWcYd3&#10;xZl54zBHAKbZCLOxnQ23t5eEzcVs0Mtg4kJIZjabQPYT3tM610BIOIlKFU+zeZnGZcd7lGq9HpL2&#10;PuhdO17AFnqRrt2tl7lMVi/6NSa50YPGWapRlUk37OEwpenN5EX/83vI+v2fWP0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BT5U+I8AgAAbwQAAA4AAAAAAAAAAQAgAAAAHwEAAGRycy9lMm9E&#10;b2MueG1sUEsFBgAAAAAGAAYAWQEAAM0FAAAAAA==&#10;">
              <v:fill on="f" focussize="0,0"/>
              <v:stroke on="f" weight="0.5pt"/>
              <v:imagedata o:title=""/>
              <o:lock v:ext="edit" aspectratio="f"/>
              <v:textbox inset="0mm,0mm,0mm,0mm" style="mso-fit-shape-to-text:t;">
                <w:txbxContent>
                  <w:p w14:paraId="690D0748">
                    <w:pPr>
                      <w:pStyle w:val="10"/>
                    </w:pPr>
                    <w:r>
                      <w:fldChar w:fldCharType="begin"/>
                    </w:r>
                    <w:r>
                      <w:instrText xml:space="preserve"> PAGE  \* MERGEFORMAT </w:instrText>
                    </w:r>
                    <w:r>
                      <w:fldChar w:fldCharType="separate"/>
                    </w:r>
                    <w:r>
                      <w:t>1</w:t>
                    </w:r>
                    <w:r>
                      <w:fldChar w:fldCharType="end"/>
                    </w:r>
                  </w:p>
                </w:txbxContent>
              </v:textbox>
            </v:shape>
          </w:pict>
        </mc:Fallback>
      </mc:AlternateContent>
    </w:r>
    <w:r>
      <w:rPr>
        <w:b/>
        <w:i/>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BC0BA2">
    <w:pPr>
      <w:pStyle w:val="10"/>
      <w:framePr w:wrap="around" w:vAnchor="text" w:hAnchor="margin" w:xAlign="center" w:y="1"/>
      <w:rPr>
        <w:rStyle w:val="19"/>
      </w:rPr>
    </w:pPr>
    <w:r>
      <w:fldChar w:fldCharType="begin"/>
    </w:r>
    <w:r>
      <w:rPr>
        <w:rStyle w:val="19"/>
      </w:rPr>
      <w:instrText xml:space="preserve">PAGE  </w:instrText>
    </w:r>
    <w:r>
      <w:fldChar w:fldCharType="separate"/>
    </w:r>
    <w:r>
      <w:rPr>
        <w:rStyle w:val="19"/>
        <w:lang w:val="en-US" w:eastAsia="zh-CN"/>
      </w:rPr>
      <w:t>1</w:t>
    </w:r>
    <w:r>
      <w:fldChar w:fldCharType="end"/>
    </w:r>
  </w:p>
  <w:p w14:paraId="7D06E1A5">
    <w:pPr>
      <w:pStyle w:val="1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74BA73">
    <w:pPr>
      <w:pStyle w:val="1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08CBA8F4">
                          <w:pPr>
                            <w:pStyle w:val="10"/>
                          </w:pPr>
                          <w:r>
                            <w:t xml:space="preserve">— </w:t>
                          </w:r>
                          <w:r>
                            <w:fldChar w:fldCharType="begin"/>
                          </w:r>
                          <w:r>
                            <w:instrText xml:space="preserve"> PAGE  \* MERGEFORMAT </w:instrText>
                          </w:r>
                          <w:r>
                            <w:fldChar w:fldCharType="separate"/>
                          </w:r>
                          <w:r>
                            <w:t>29</w:t>
                          </w:r>
                          <w:r>
                            <w:fldChar w:fldCharType="end"/>
                          </w:r>
                          <w: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J3ZuA8AgAAcQQAAA4AAABkcnMvZTJvRG9jLnhtbK1UwW4TMRC9I/EP&#10;lu90kwBVFHVThVZBSIVWCoiz4/VmV7I9lu10t3wA/AEnLr3zXf0Onr3ZgAqHHrisxp7xm3lvZvbs&#10;vDea3SofWrIln55MOFNWUtXaXck/fVy/mHMWorCV0GRVye9U4OfL58/OOrdQM2pIV8ozgNiw6FzJ&#10;mxjdoiiCbJQR4YScsnDW5I2IOPpdUXnRAd3oYjaZnBYd+cp5kioE3F4OTn5A9E8BpLpupbokuTfK&#10;xgHVKy0iKIWmdYEvc7V1rWS8ruugItMlB9OYv0gCe5u+xfJMLHZeuKaVhxLEU0p4xMmI1iLpEepS&#10;RMH2vv0LyrTSU6A6nkgyxUAkKwIW08kjbTaNcCpzgdTBHUUP/w9Wfri98aytSj7jzAqDhj98//bw&#10;4+fD/Vf2KsnTubBA1MYhLvZvqMfQjPchXW6791ThndhHyhr0tTdJC7BjiIbUd0epVR+ZTBDz2Xw+&#10;gUvCNx6QrRCL8bnzIb5VZFgySu7Rywwvbq9CHELHkJTN0rrVOvdTW9aV/PTl60l+cPQAXNsUq/Jk&#10;HGASwURkoBr7bX9gvaXqDvw8DVMTnFy3KOVKhHgjPMYE5WOR4jU+tSakpIPFWUP+y7/uUzy6By9n&#10;Hcau5BZbxpl+Z9FVAMbR8KOxHQ27NxeEOZ5iQZ3MJh74qEez9mQ+Y7tWKQdcwkpkKnkczYs4jD62&#10;U6rVKgdhDp2IV3bjZIJO8gS3Qi/XbVY5yTMoge6kAyYx9+mwNWnU/zznqN9/iuUv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EJ3ZuA8AgAAcQQAAA4AAAAAAAAAAQAgAAAAHwEAAGRycy9lMm9E&#10;b2MueG1sUEsFBgAAAAAGAAYAWQEAAM0FAAAAAA==&#10;">
              <v:fill on="f" focussize="0,0"/>
              <v:stroke on="f" weight="0.5pt"/>
              <v:imagedata o:title=""/>
              <o:lock v:ext="edit" aspectratio="f"/>
              <v:textbox inset="0mm,0mm,0mm,0mm" style="mso-fit-shape-to-text:t;">
                <w:txbxContent>
                  <w:p w14:paraId="08CBA8F4">
                    <w:pPr>
                      <w:pStyle w:val="10"/>
                    </w:pPr>
                    <w:r>
                      <w:t xml:space="preserve">— </w:t>
                    </w:r>
                    <w:r>
                      <w:fldChar w:fldCharType="begin"/>
                    </w:r>
                    <w:r>
                      <w:instrText xml:space="preserve"> PAGE  \* MERGEFORMAT </w:instrText>
                    </w:r>
                    <w:r>
                      <w:fldChar w:fldCharType="separate"/>
                    </w:r>
                    <w:r>
                      <w:t>29</w:t>
                    </w:r>
                    <w:r>
                      <w:fldChar w:fldCharType="end"/>
                    </w:r>
                    <w: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A1EBCF">
    <w:pPr>
      <w:pStyle w:val="11"/>
      <w:pBdr>
        <w:bottom w:val="none" w:color="auto" w:sz="0" w:space="0"/>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9E5E3C9"/>
    <w:multiLevelType w:val="singleLevel"/>
    <w:tmpl w:val="89E5E3C9"/>
    <w:lvl w:ilvl="0" w:tentative="0">
      <w:start w:val="25"/>
      <w:numFmt w:val="decimal"/>
      <w:suff w:val="nothing"/>
      <w:lvlText w:val="%1、"/>
      <w:lvlJc w:val="left"/>
    </w:lvl>
  </w:abstractNum>
  <w:abstractNum w:abstractNumId="1">
    <w:nsid w:val="9E6F8D93"/>
    <w:multiLevelType w:val="singleLevel"/>
    <w:tmpl w:val="9E6F8D93"/>
    <w:lvl w:ilvl="0" w:tentative="0">
      <w:start w:val="8"/>
      <w:numFmt w:val="decimal"/>
      <w:suff w:val="nothing"/>
      <w:lvlText w:val="%1、"/>
      <w:lvlJc w:val="left"/>
    </w:lvl>
  </w:abstractNum>
  <w:abstractNum w:abstractNumId="2">
    <w:nsid w:val="0E640482"/>
    <w:multiLevelType w:val="multilevel"/>
    <w:tmpl w:val="0E640482"/>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2C2BDE82"/>
    <w:multiLevelType w:val="singleLevel"/>
    <w:tmpl w:val="2C2BDE82"/>
    <w:lvl w:ilvl="0" w:tentative="0">
      <w:start w:val="1"/>
      <w:numFmt w:val="chineseCounting"/>
      <w:suff w:val="nothing"/>
      <w:lvlText w:val="第%1条　"/>
      <w:lvlJc w:val="left"/>
      <w:pPr>
        <w:ind w:left="420" w:leftChars="0" w:firstLine="0" w:firstLineChars="0"/>
      </w:pPr>
      <w:rPr>
        <w:rFonts w:hint="eastAsia"/>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40835BE"/>
    <w:rsid w:val="00076791"/>
    <w:rsid w:val="007B0235"/>
    <w:rsid w:val="00A6702E"/>
    <w:rsid w:val="00AF1302"/>
    <w:rsid w:val="00C279E1"/>
    <w:rsid w:val="00E12D8C"/>
    <w:rsid w:val="01267613"/>
    <w:rsid w:val="01325A8F"/>
    <w:rsid w:val="014632E9"/>
    <w:rsid w:val="014F4893"/>
    <w:rsid w:val="015A65CB"/>
    <w:rsid w:val="016C2D4F"/>
    <w:rsid w:val="017817AA"/>
    <w:rsid w:val="01D152A8"/>
    <w:rsid w:val="01E16896"/>
    <w:rsid w:val="020A1096"/>
    <w:rsid w:val="020F6097"/>
    <w:rsid w:val="021533E7"/>
    <w:rsid w:val="02D05560"/>
    <w:rsid w:val="02DF39F5"/>
    <w:rsid w:val="031A67B1"/>
    <w:rsid w:val="03391357"/>
    <w:rsid w:val="034A4C7F"/>
    <w:rsid w:val="03513327"/>
    <w:rsid w:val="03D2588F"/>
    <w:rsid w:val="03DD69DB"/>
    <w:rsid w:val="040835BE"/>
    <w:rsid w:val="04367644"/>
    <w:rsid w:val="04455AD9"/>
    <w:rsid w:val="04814D63"/>
    <w:rsid w:val="04DD74D4"/>
    <w:rsid w:val="05062B27"/>
    <w:rsid w:val="050B6D23"/>
    <w:rsid w:val="0532605E"/>
    <w:rsid w:val="0592111A"/>
    <w:rsid w:val="05A221D9"/>
    <w:rsid w:val="05E57EEB"/>
    <w:rsid w:val="063A5B78"/>
    <w:rsid w:val="06624721"/>
    <w:rsid w:val="067032E2"/>
    <w:rsid w:val="0680104B"/>
    <w:rsid w:val="07047ECE"/>
    <w:rsid w:val="070B60F9"/>
    <w:rsid w:val="07372051"/>
    <w:rsid w:val="07416A2C"/>
    <w:rsid w:val="074327A4"/>
    <w:rsid w:val="079817FF"/>
    <w:rsid w:val="07E86EA8"/>
    <w:rsid w:val="080C528C"/>
    <w:rsid w:val="083B16CD"/>
    <w:rsid w:val="0853723A"/>
    <w:rsid w:val="086A1FB2"/>
    <w:rsid w:val="087B5F6E"/>
    <w:rsid w:val="0898267C"/>
    <w:rsid w:val="091343F8"/>
    <w:rsid w:val="0929564F"/>
    <w:rsid w:val="09300B06"/>
    <w:rsid w:val="094C3466"/>
    <w:rsid w:val="097906FF"/>
    <w:rsid w:val="098470A4"/>
    <w:rsid w:val="09B10AC1"/>
    <w:rsid w:val="09B94F9F"/>
    <w:rsid w:val="09B96D4E"/>
    <w:rsid w:val="0A00672A"/>
    <w:rsid w:val="0A2543E3"/>
    <w:rsid w:val="0A3E0921"/>
    <w:rsid w:val="0A764C3F"/>
    <w:rsid w:val="0A8E2B46"/>
    <w:rsid w:val="0AC0410C"/>
    <w:rsid w:val="0ADD2F10"/>
    <w:rsid w:val="0AF02C43"/>
    <w:rsid w:val="0AF10769"/>
    <w:rsid w:val="0AF3628F"/>
    <w:rsid w:val="0B154457"/>
    <w:rsid w:val="0B1C57E6"/>
    <w:rsid w:val="0B3B060A"/>
    <w:rsid w:val="0B994E20"/>
    <w:rsid w:val="0BAC3C0F"/>
    <w:rsid w:val="0BE81B6C"/>
    <w:rsid w:val="0C662A91"/>
    <w:rsid w:val="0C7B3862"/>
    <w:rsid w:val="0C7E7861"/>
    <w:rsid w:val="0CA05FA3"/>
    <w:rsid w:val="0CB16402"/>
    <w:rsid w:val="0CDA502B"/>
    <w:rsid w:val="0CE265BB"/>
    <w:rsid w:val="0CFA1B57"/>
    <w:rsid w:val="0D331F6F"/>
    <w:rsid w:val="0D58062B"/>
    <w:rsid w:val="0D78403C"/>
    <w:rsid w:val="0E70013B"/>
    <w:rsid w:val="0E731F27"/>
    <w:rsid w:val="0E76345F"/>
    <w:rsid w:val="0E87741A"/>
    <w:rsid w:val="0E8D3EEF"/>
    <w:rsid w:val="0EC42146"/>
    <w:rsid w:val="0ECA0A0A"/>
    <w:rsid w:val="0F19203C"/>
    <w:rsid w:val="0F77627B"/>
    <w:rsid w:val="0F87169C"/>
    <w:rsid w:val="0F8D434C"/>
    <w:rsid w:val="0FA638D0"/>
    <w:rsid w:val="101E0FA1"/>
    <w:rsid w:val="1021389E"/>
    <w:rsid w:val="103823C2"/>
    <w:rsid w:val="10640774"/>
    <w:rsid w:val="10A51DDA"/>
    <w:rsid w:val="10E53196"/>
    <w:rsid w:val="111331E7"/>
    <w:rsid w:val="11421D1E"/>
    <w:rsid w:val="11671785"/>
    <w:rsid w:val="11763776"/>
    <w:rsid w:val="117C2759"/>
    <w:rsid w:val="11DE2ABB"/>
    <w:rsid w:val="1209593F"/>
    <w:rsid w:val="121607A2"/>
    <w:rsid w:val="122F7FDE"/>
    <w:rsid w:val="12307DC9"/>
    <w:rsid w:val="12825D68"/>
    <w:rsid w:val="12993BC0"/>
    <w:rsid w:val="12A8795F"/>
    <w:rsid w:val="12CB3CF7"/>
    <w:rsid w:val="12ED5CBA"/>
    <w:rsid w:val="12F863B6"/>
    <w:rsid w:val="131F5B97"/>
    <w:rsid w:val="134578A4"/>
    <w:rsid w:val="13E04C56"/>
    <w:rsid w:val="14090241"/>
    <w:rsid w:val="14264FE0"/>
    <w:rsid w:val="146855F8"/>
    <w:rsid w:val="148166BA"/>
    <w:rsid w:val="148368D6"/>
    <w:rsid w:val="14CF1B1B"/>
    <w:rsid w:val="14F05F2F"/>
    <w:rsid w:val="150E5D5E"/>
    <w:rsid w:val="153D7A8F"/>
    <w:rsid w:val="15520056"/>
    <w:rsid w:val="155618F4"/>
    <w:rsid w:val="1571672E"/>
    <w:rsid w:val="158A5DC9"/>
    <w:rsid w:val="15F35395"/>
    <w:rsid w:val="15FD6214"/>
    <w:rsid w:val="1658169C"/>
    <w:rsid w:val="16B56AEF"/>
    <w:rsid w:val="16D451C7"/>
    <w:rsid w:val="16DC0DE7"/>
    <w:rsid w:val="16DD0837"/>
    <w:rsid w:val="17183D9D"/>
    <w:rsid w:val="17255A22"/>
    <w:rsid w:val="17393809"/>
    <w:rsid w:val="17530D90"/>
    <w:rsid w:val="17875809"/>
    <w:rsid w:val="17A0779F"/>
    <w:rsid w:val="17CE2415"/>
    <w:rsid w:val="17DB2585"/>
    <w:rsid w:val="180442B2"/>
    <w:rsid w:val="18535AAC"/>
    <w:rsid w:val="186F7AE7"/>
    <w:rsid w:val="1870214D"/>
    <w:rsid w:val="18B232E6"/>
    <w:rsid w:val="18B76B4E"/>
    <w:rsid w:val="18BA663E"/>
    <w:rsid w:val="18DD441E"/>
    <w:rsid w:val="18E37943"/>
    <w:rsid w:val="18F558C8"/>
    <w:rsid w:val="18F56188"/>
    <w:rsid w:val="190A3122"/>
    <w:rsid w:val="19566FEB"/>
    <w:rsid w:val="195A572B"/>
    <w:rsid w:val="19810F0A"/>
    <w:rsid w:val="19C239FC"/>
    <w:rsid w:val="19D674A8"/>
    <w:rsid w:val="19F81363"/>
    <w:rsid w:val="1A02029D"/>
    <w:rsid w:val="1A246465"/>
    <w:rsid w:val="1A366198"/>
    <w:rsid w:val="1A402B73"/>
    <w:rsid w:val="1A497C7A"/>
    <w:rsid w:val="1AD02149"/>
    <w:rsid w:val="1AFD0A64"/>
    <w:rsid w:val="1B3F4FAC"/>
    <w:rsid w:val="1B4641B9"/>
    <w:rsid w:val="1B542D7A"/>
    <w:rsid w:val="1B9E3FF5"/>
    <w:rsid w:val="1BD417C5"/>
    <w:rsid w:val="1BE14869"/>
    <w:rsid w:val="1C5207A8"/>
    <w:rsid w:val="1C537689"/>
    <w:rsid w:val="1C5648D0"/>
    <w:rsid w:val="1C5E47EB"/>
    <w:rsid w:val="1CCE26B8"/>
    <w:rsid w:val="1CEC0D90"/>
    <w:rsid w:val="1CF77E61"/>
    <w:rsid w:val="1D091942"/>
    <w:rsid w:val="1D116BB7"/>
    <w:rsid w:val="1D1A76AB"/>
    <w:rsid w:val="1D9962E4"/>
    <w:rsid w:val="1DE2702B"/>
    <w:rsid w:val="1DE63A32"/>
    <w:rsid w:val="1E2C3B3A"/>
    <w:rsid w:val="1E401394"/>
    <w:rsid w:val="1E4F7829"/>
    <w:rsid w:val="1E9B2A6E"/>
    <w:rsid w:val="1ED65854"/>
    <w:rsid w:val="1EDB2E6A"/>
    <w:rsid w:val="1EF67CA4"/>
    <w:rsid w:val="1F106FB8"/>
    <w:rsid w:val="1F7A2683"/>
    <w:rsid w:val="1FAF4A23"/>
    <w:rsid w:val="1FD955FC"/>
    <w:rsid w:val="1FF97A4C"/>
    <w:rsid w:val="200258AC"/>
    <w:rsid w:val="20947775"/>
    <w:rsid w:val="20983709"/>
    <w:rsid w:val="20A0611A"/>
    <w:rsid w:val="20AB2ACC"/>
    <w:rsid w:val="20D3029D"/>
    <w:rsid w:val="20DD111C"/>
    <w:rsid w:val="21036D5B"/>
    <w:rsid w:val="212B632B"/>
    <w:rsid w:val="21376363"/>
    <w:rsid w:val="215A09BE"/>
    <w:rsid w:val="215E2853"/>
    <w:rsid w:val="2164731A"/>
    <w:rsid w:val="219A525F"/>
    <w:rsid w:val="21D64328"/>
    <w:rsid w:val="21ED1832"/>
    <w:rsid w:val="21F90DCC"/>
    <w:rsid w:val="220D3C83"/>
    <w:rsid w:val="22500096"/>
    <w:rsid w:val="22840D37"/>
    <w:rsid w:val="229677D4"/>
    <w:rsid w:val="22A31EF1"/>
    <w:rsid w:val="22A55FF2"/>
    <w:rsid w:val="22AD4B1E"/>
    <w:rsid w:val="22B91715"/>
    <w:rsid w:val="22E04EF3"/>
    <w:rsid w:val="23DA1943"/>
    <w:rsid w:val="23FA0237"/>
    <w:rsid w:val="23FA1FE5"/>
    <w:rsid w:val="242D4168"/>
    <w:rsid w:val="24545B99"/>
    <w:rsid w:val="249E6E14"/>
    <w:rsid w:val="24A037C0"/>
    <w:rsid w:val="254C4AC2"/>
    <w:rsid w:val="25611F86"/>
    <w:rsid w:val="25665B84"/>
    <w:rsid w:val="258629C1"/>
    <w:rsid w:val="25890F93"/>
    <w:rsid w:val="259F4AE8"/>
    <w:rsid w:val="25A466AC"/>
    <w:rsid w:val="25EB6089"/>
    <w:rsid w:val="26191316"/>
    <w:rsid w:val="263A0DBE"/>
    <w:rsid w:val="26437C73"/>
    <w:rsid w:val="265E2CFF"/>
    <w:rsid w:val="26CA0394"/>
    <w:rsid w:val="26DA0F79"/>
    <w:rsid w:val="27191DB9"/>
    <w:rsid w:val="278F467A"/>
    <w:rsid w:val="279050AE"/>
    <w:rsid w:val="27AE3812"/>
    <w:rsid w:val="27B05C36"/>
    <w:rsid w:val="27BC2A6C"/>
    <w:rsid w:val="27E36EFD"/>
    <w:rsid w:val="28133675"/>
    <w:rsid w:val="28573CEA"/>
    <w:rsid w:val="288E0F4E"/>
    <w:rsid w:val="289561AB"/>
    <w:rsid w:val="28B430AA"/>
    <w:rsid w:val="29422464"/>
    <w:rsid w:val="29453D02"/>
    <w:rsid w:val="29A22F02"/>
    <w:rsid w:val="29BA2259"/>
    <w:rsid w:val="29CB06AB"/>
    <w:rsid w:val="29DE128D"/>
    <w:rsid w:val="2A175AF9"/>
    <w:rsid w:val="2A295A76"/>
    <w:rsid w:val="2A9E2CF7"/>
    <w:rsid w:val="2ABB4152"/>
    <w:rsid w:val="2ACA1805"/>
    <w:rsid w:val="2AE17A5A"/>
    <w:rsid w:val="2AF468E4"/>
    <w:rsid w:val="2B084FE7"/>
    <w:rsid w:val="2B261911"/>
    <w:rsid w:val="2BA14AC6"/>
    <w:rsid w:val="2BBB7659"/>
    <w:rsid w:val="2BCA4992"/>
    <w:rsid w:val="2BD61589"/>
    <w:rsid w:val="2C4C1A29"/>
    <w:rsid w:val="2C7F752B"/>
    <w:rsid w:val="2CB91BAB"/>
    <w:rsid w:val="2D8D3ECA"/>
    <w:rsid w:val="2DC455B1"/>
    <w:rsid w:val="2DCA4384"/>
    <w:rsid w:val="2E276A03"/>
    <w:rsid w:val="2E6609A2"/>
    <w:rsid w:val="2ED0406E"/>
    <w:rsid w:val="2EEF4086"/>
    <w:rsid w:val="2EFE507F"/>
    <w:rsid w:val="2F6824F8"/>
    <w:rsid w:val="2F7C5FA4"/>
    <w:rsid w:val="2F931E2F"/>
    <w:rsid w:val="2FB95101"/>
    <w:rsid w:val="2FDD2BB3"/>
    <w:rsid w:val="2FE53B49"/>
    <w:rsid w:val="303067FB"/>
    <w:rsid w:val="30360E95"/>
    <w:rsid w:val="30762B4B"/>
    <w:rsid w:val="30A734F4"/>
    <w:rsid w:val="30A77050"/>
    <w:rsid w:val="30BB2AFC"/>
    <w:rsid w:val="310F3573"/>
    <w:rsid w:val="3115220C"/>
    <w:rsid w:val="3119121A"/>
    <w:rsid w:val="31857392"/>
    <w:rsid w:val="31994BEB"/>
    <w:rsid w:val="319B575E"/>
    <w:rsid w:val="31AE610B"/>
    <w:rsid w:val="31EF37D6"/>
    <w:rsid w:val="31F21B8B"/>
    <w:rsid w:val="3203475A"/>
    <w:rsid w:val="32110C25"/>
    <w:rsid w:val="321E77E6"/>
    <w:rsid w:val="32222E32"/>
    <w:rsid w:val="323E5792"/>
    <w:rsid w:val="32851613"/>
    <w:rsid w:val="328B5F1C"/>
    <w:rsid w:val="328F5FEE"/>
    <w:rsid w:val="32906606"/>
    <w:rsid w:val="32AC4DF2"/>
    <w:rsid w:val="32E60EA2"/>
    <w:rsid w:val="33232E73"/>
    <w:rsid w:val="332F677D"/>
    <w:rsid w:val="33484F21"/>
    <w:rsid w:val="33D406A7"/>
    <w:rsid w:val="33D67385"/>
    <w:rsid w:val="34155BB1"/>
    <w:rsid w:val="343B01DB"/>
    <w:rsid w:val="34691C96"/>
    <w:rsid w:val="34711E4F"/>
    <w:rsid w:val="347B4A7C"/>
    <w:rsid w:val="34BF3FCD"/>
    <w:rsid w:val="351246EA"/>
    <w:rsid w:val="35E46651"/>
    <w:rsid w:val="362B4280"/>
    <w:rsid w:val="36341386"/>
    <w:rsid w:val="36651C19"/>
    <w:rsid w:val="368D6CE8"/>
    <w:rsid w:val="36F5544F"/>
    <w:rsid w:val="370F52B4"/>
    <w:rsid w:val="380C0117"/>
    <w:rsid w:val="387737AC"/>
    <w:rsid w:val="38887767"/>
    <w:rsid w:val="38951E5B"/>
    <w:rsid w:val="389820A0"/>
    <w:rsid w:val="38D26F91"/>
    <w:rsid w:val="390037A2"/>
    <w:rsid w:val="39033292"/>
    <w:rsid w:val="39092558"/>
    <w:rsid w:val="393A4F06"/>
    <w:rsid w:val="39592552"/>
    <w:rsid w:val="3971469F"/>
    <w:rsid w:val="39D92970"/>
    <w:rsid w:val="3A0B0650"/>
    <w:rsid w:val="3A281202"/>
    <w:rsid w:val="3A8B21A0"/>
    <w:rsid w:val="3A8F302F"/>
    <w:rsid w:val="3A9A3BD3"/>
    <w:rsid w:val="3ADA5D22"/>
    <w:rsid w:val="3B213D0B"/>
    <w:rsid w:val="3B3B216B"/>
    <w:rsid w:val="3B51118C"/>
    <w:rsid w:val="3B582897"/>
    <w:rsid w:val="3B7A7DCA"/>
    <w:rsid w:val="3BA261B4"/>
    <w:rsid w:val="3BB30F9F"/>
    <w:rsid w:val="3BB865B6"/>
    <w:rsid w:val="3BBE650C"/>
    <w:rsid w:val="3C025A83"/>
    <w:rsid w:val="3C0C7EBE"/>
    <w:rsid w:val="3C1A36F8"/>
    <w:rsid w:val="3C28462E"/>
    <w:rsid w:val="3C6329C5"/>
    <w:rsid w:val="3C8A61A4"/>
    <w:rsid w:val="3CA03F38"/>
    <w:rsid w:val="3CB90837"/>
    <w:rsid w:val="3D1E069A"/>
    <w:rsid w:val="3D2A34E3"/>
    <w:rsid w:val="3D3B60B6"/>
    <w:rsid w:val="3D950CBD"/>
    <w:rsid w:val="3D9D5A63"/>
    <w:rsid w:val="3DBA6551"/>
    <w:rsid w:val="3DC01751"/>
    <w:rsid w:val="3E175815"/>
    <w:rsid w:val="3E5C147A"/>
    <w:rsid w:val="3EB76128"/>
    <w:rsid w:val="3EDF3E59"/>
    <w:rsid w:val="3EE64621"/>
    <w:rsid w:val="3F0602E2"/>
    <w:rsid w:val="3F0833B0"/>
    <w:rsid w:val="3F141D55"/>
    <w:rsid w:val="3F1461F9"/>
    <w:rsid w:val="3F3E6DD2"/>
    <w:rsid w:val="3F984734"/>
    <w:rsid w:val="3FA0183A"/>
    <w:rsid w:val="3FD019E0"/>
    <w:rsid w:val="400C3697"/>
    <w:rsid w:val="40532D51"/>
    <w:rsid w:val="406A0055"/>
    <w:rsid w:val="406B3BF6"/>
    <w:rsid w:val="40721429"/>
    <w:rsid w:val="40786313"/>
    <w:rsid w:val="40864ED4"/>
    <w:rsid w:val="4094323F"/>
    <w:rsid w:val="41765884"/>
    <w:rsid w:val="41A815FC"/>
    <w:rsid w:val="41C42CB5"/>
    <w:rsid w:val="41EF0857"/>
    <w:rsid w:val="42002A64"/>
    <w:rsid w:val="421223CC"/>
    <w:rsid w:val="42C35F6C"/>
    <w:rsid w:val="42D0734C"/>
    <w:rsid w:val="42E01B18"/>
    <w:rsid w:val="432A5FEB"/>
    <w:rsid w:val="432F7DBB"/>
    <w:rsid w:val="4346793A"/>
    <w:rsid w:val="43572B58"/>
    <w:rsid w:val="435B2648"/>
    <w:rsid w:val="437453F5"/>
    <w:rsid w:val="43A22025"/>
    <w:rsid w:val="44036782"/>
    <w:rsid w:val="4416031D"/>
    <w:rsid w:val="441C36FB"/>
    <w:rsid w:val="44393F10"/>
    <w:rsid w:val="44564BBE"/>
    <w:rsid w:val="44CB6693"/>
    <w:rsid w:val="44CF1336"/>
    <w:rsid w:val="44FC5765"/>
    <w:rsid w:val="4513485D"/>
    <w:rsid w:val="45265D92"/>
    <w:rsid w:val="45433394"/>
    <w:rsid w:val="45677AC2"/>
    <w:rsid w:val="45727D12"/>
    <w:rsid w:val="45B24076"/>
    <w:rsid w:val="461C1AA4"/>
    <w:rsid w:val="462521AF"/>
    <w:rsid w:val="462A00B0"/>
    <w:rsid w:val="46351705"/>
    <w:rsid w:val="46A14816"/>
    <w:rsid w:val="46BF6A4A"/>
    <w:rsid w:val="46DA56D2"/>
    <w:rsid w:val="47841A42"/>
    <w:rsid w:val="47887784"/>
    <w:rsid w:val="47906638"/>
    <w:rsid w:val="47BC33D4"/>
    <w:rsid w:val="480028CE"/>
    <w:rsid w:val="480B7AD5"/>
    <w:rsid w:val="48292074"/>
    <w:rsid w:val="485338EE"/>
    <w:rsid w:val="4856518C"/>
    <w:rsid w:val="48AC2FFE"/>
    <w:rsid w:val="48F549A5"/>
    <w:rsid w:val="48F84300"/>
    <w:rsid w:val="4910358D"/>
    <w:rsid w:val="491D3EFC"/>
    <w:rsid w:val="495A6EFE"/>
    <w:rsid w:val="49D547D7"/>
    <w:rsid w:val="4AB44DF5"/>
    <w:rsid w:val="4B320132"/>
    <w:rsid w:val="4B8B6013"/>
    <w:rsid w:val="4BA95DB4"/>
    <w:rsid w:val="4BF2341E"/>
    <w:rsid w:val="4C211DF2"/>
    <w:rsid w:val="4C307A20"/>
    <w:rsid w:val="4C426389"/>
    <w:rsid w:val="4C776080"/>
    <w:rsid w:val="4C8A18A8"/>
    <w:rsid w:val="4C8C3872"/>
    <w:rsid w:val="4C9E35A6"/>
    <w:rsid w:val="4CA47359"/>
    <w:rsid w:val="4CAC6E49"/>
    <w:rsid w:val="4D19039B"/>
    <w:rsid w:val="4D1A0E7E"/>
    <w:rsid w:val="4D1A26D3"/>
    <w:rsid w:val="4DAE7818"/>
    <w:rsid w:val="4DE26818"/>
    <w:rsid w:val="4DF067FC"/>
    <w:rsid w:val="4DF528A2"/>
    <w:rsid w:val="4E061595"/>
    <w:rsid w:val="4E816CDB"/>
    <w:rsid w:val="4E946A0E"/>
    <w:rsid w:val="4ED17338"/>
    <w:rsid w:val="4F552641"/>
    <w:rsid w:val="4F6279A9"/>
    <w:rsid w:val="4FAC57EA"/>
    <w:rsid w:val="50047E1D"/>
    <w:rsid w:val="50793158"/>
    <w:rsid w:val="509C1BAA"/>
    <w:rsid w:val="50E772C9"/>
    <w:rsid w:val="51450494"/>
    <w:rsid w:val="51516E38"/>
    <w:rsid w:val="51B11685"/>
    <w:rsid w:val="51CC3F47"/>
    <w:rsid w:val="51EC090F"/>
    <w:rsid w:val="52595FA5"/>
    <w:rsid w:val="525C5A95"/>
    <w:rsid w:val="526B2358"/>
    <w:rsid w:val="52B21B59"/>
    <w:rsid w:val="52F50C48"/>
    <w:rsid w:val="530C3017"/>
    <w:rsid w:val="531052F0"/>
    <w:rsid w:val="531D3476"/>
    <w:rsid w:val="532E7431"/>
    <w:rsid w:val="535F3F49"/>
    <w:rsid w:val="53642E53"/>
    <w:rsid w:val="538057B3"/>
    <w:rsid w:val="5394125E"/>
    <w:rsid w:val="53AE6DC4"/>
    <w:rsid w:val="53C90038"/>
    <w:rsid w:val="53F750B7"/>
    <w:rsid w:val="544669FD"/>
    <w:rsid w:val="54815C87"/>
    <w:rsid w:val="54B73456"/>
    <w:rsid w:val="54CF254E"/>
    <w:rsid w:val="55284354"/>
    <w:rsid w:val="555F6A99"/>
    <w:rsid w:val="556B6473"/>
    <w:rsid w:val="55894DF3"/>
    <w:rsid w:val="559E4D08"/>
    <w:rsid w:val="55A90FF1"/>
    <w:rsid w:val="56505911"/>
    <w:rsid w:val="56631EC2"/>
    <w:rsid w:val="56A62EB2"/>
    <w:rsid w:val="56B714EC"/>
    <w:rsid w:val="575907F5"/>
    <w:rsid w:val="57712A90"/>
    <w:rsid w:val="577C2DA4"/>
    <w:rsid w:val="57947A7F"/>
    <w:rsid w:val="57B60FF8"/>
    <w:rsid w:val="57B91294"/>
    <w:rsid w:val="57C100EB"/>
    <w:rsid w:val="57D32355"/>
    <w:rsid w:val="57E6313F"/>
    <w:rsid w:val="58816450"/>
    <w:rsid w:val="588D4BFA"/>
    <w:rsid w:val="58902B1E"/>
    <w:rsid w:val="58A210B3"/>
    <w:rsid w:val="58B77EC9"/>
    <w:rsid w:val="59301A29"/>
    <w:rsid w:val="594F3C5E"/>
    <w:rsid w:val="597731B4"/>
    <w:rsid w:val="59932E16"/>
    <w:rsid w:val="599964CA"/>
    <w:rsid w:val="59A74A0C"/>
    <w:rsid w:val="59B3675E"/>
    <w:rsid w:val="59B50BBE"/>
    <w:rsid w:val="59E6355E"/>
    <w:rsid w:val="5A151432"/>
    <w:rsid w:val="5A643739"/>
    <w:rsid w:val="5AC03910"/>
    <w:rsid w:val="5B024C33"/>
    <w:rsid w:val="5B27338C"/>
    <w:rsid w:val="5B7628FD"/>
    <w:rsid w:val="5B8C73EB"/>
    <w:rsid w:val="5BD14DFE"/>
    <w:rsid w:val="5BF979BC"/>
    <w:rsid w:val="5C2E04A2"/>
    <w:rsid w:val="5C3A6E47"/>
    <w:rsid w:val="5C427AAA"/>
    <w:rsid w:val="5C7B371F"/>
    <w:rsid w:val="5CE70651"/>
    <w:rsid w:val="5CF27A90"/>
    <w:rsid w:val="5D0B433F"/>
    <w:rsid w:val="5D303DA6"/>
    <w:rsid w:val="5D4C4156"/>
    <w:rsid w:val="5D5201C0"/>
    <w:rsid w:val="5D577585"/>
    <w:rsid w:val="5D994AF8"/>
    <w:rsid w:val="5DA1671E"/>
    <w:rsid w:val="5DCC7F73"/>
    <w:rsid w:val="5E604B5F"/>
    <w:rsid w:val="5EF07C91"/>
    <w:rsid w:val="5F01356B"/>
    <w:rsid w:val="5F06135B"/>
    <w:rsid w:val="5F406240"/>
    <w:rsid w:val="5F565A06"/>
    <w:rsid w:val="5F5B0880"/>
    <w:rsid w:val="5FB17637"/>
    <w:rsid w:val="5FD2383A"/>
    <w:rsid w:val="605F6C04"/>
    <w:rsid w:val="60D13AF2"/>
    <w:rsid w:val="60F53AD8"/>
    <w:rsid w:val="61080CB6"/>
    <w:rsid w:val="613876CD"/>
    <w:rsid w:val="61477910"/>
    <w:rsid w:val="61AE5BE1"/>
    <w:rsid w:val="61AF3E33"/>
    <w:rsid w:val="61C64CD9"/>
    <w:rsid w:val="61D92C5E"/>
    <w:rsid w:val="623460E6"/>
    <w:rsid w:val="62491D43"/>
    <w:rsid w:val="626427F7"/>
    <w:rsid w:val="62773F76"/>
    <w:rsid w:val="62864468"/>
    <w:rsid w:val="62905878"/>
    <w:rsid w:val="62F53AC8"/>
    <w:rsid w:val="63CC656D"/>
    <w:rsid w:val="63F35C7C"/>
    <w:rsid w:val="641206A9"/>
    <w:rsid w:val="64124205"/>
    <w:rsid w:val="641A130C"/>
    <w:rsid w:val="641F4B74"/>
    <w:rsid w:val="64402D87"/>
    <w:rsid w:val="647A65AB"/>
    <w:rsid w:val="64872037"/>
    <w:rsid w:val="64BC6D09"/>
    <w:rsid w:val="64EA5182"/>
    <w:rsid w:val="6507224C"/>
    <w:rsid w:val="651771CA"/>
    <w:rsid w:val="65551296"/>
    <w:rsid w:val="65605670"/>
    <w:rsid w:val="6582360D"/>
    <w:rsid w:val="6598698C"/>
    <w:rsid w:val="65A25A5D"/>
    <w:rsid w:val="663A7A43"/>
    <w:rsid w:val="66613222"/>
    <w:rsid w:val="66996E60"/>
    <w:rsid w:val="66E300DB"/>
    <w:rsid w:val="670D15E0"/>
    <w:rsid w:val="67784CC7"/>
    <w:rsid w:val="67F500C6"/>
    <w:rsid w:val="68356714"/>
    <w:rsid w:val="68744D91"/>
    <w:rsid w:val="687645A4"/>
    <w:rsid w:val="68DF27C0"/>
    <w:rsid w:val="691A724F"/>
    <w:rsid w:val="695F7688"/>
    <w:rsid w:val="696279DD"/>
    <w:rsid w:val="69766FE4"/>
    <w:rsid w:val="69C9180A"/>
    <w:rsid w:val="69D81A4D"/>
    <w:rsid w:val="6A8A6A8E"/>
    <w:rsid w:val="6AA61B4B"/>
    <w:rsid w:val="6B136701"/>
    <w:rsid w:val="6B520BC7"/>
    <w:rsid w:val="6B79100E"/>
    <w:rsid w:val="6BB64010"/>
    <w:rsid w:val="6BC404DB"/>
    <w:rsid w:val="6BC47882"/>
    <w:rsid w:val="6BD36970"/>
    <w:rsid w:val="6BF16DF6"/>
    <w:rsid w:val="6C0C46FA"/>
    <w:rsid w:val="6C351ED9"/>
    <w:rsid w:val="6C3F4006"/>
    <w:rsid w:val="6C4909E0"/>
    <w:rsid w:val="6C5C3872"/>
    <w:rsid w:val="6C983716"/>
    <w:rsid w:val="6CCA0AD6"/>
    <w:rsid w:val="6CD40BF2"/>
    <w:rsid w:val="6CEF1CA7"/>
    <w:rsid w:val="6D4573FA"/>
    <w:rsid w:val="6D853C0D"/>
    <w:rsid w:val="6DBB76BC"/>
    <w:rsid w:val="6E0077C5"/>
    <w:rsid w:val="6E160D96"/>
    <w:rsid w:val="6E274D51"/>
    <w:rsid w:val="6E38738C"/>
    <w:rsid w:val="6E4476B1"/>
    <w:rsid w:val="6E970129"/>
    <w:rsid w:val="6EA463A2"/>
    <w:rsid w:val="6EA77C40"/>
    <w:rsid w:val="6F18297E"/>
    <w:rsid w:val="6F1928EC"/>
    <w:rsid w:val="6F3B6D06"/>
    <w:rsid w:val="6FA01606"/>
    <w:rsid w:val="6FCD7C8C"/>
    <w:rsid w:val="6FDC1B6B"/>
    <w:rsid w:val="6FEA4288"/>
    <w:rsid w:val="700510C2"/>
    <w:rsid w:val="700E7B6F"/>
    <w:rsid w:val="70384FF4"/>
    <w:rsid w:val="704020FA"/>
    <w:rsid w:val="707E0DF8"/>
    <w:rsid w:val="70916390"/>
    <w:rsid w:val="70983692"/>
    <w:rsid w:val="70B86135"/>
    <w:rsid w:val="70F32156"/>
    <w:rsid w:val="710C022E"/>
    <w:rsid w:val="71312E46"/>
    <w:rsid w:val="71733112"/>
    <w:rsid w:val="71AB5C99"/>
    <w:rsid w:val="71BB5EDC"/>
    <w:rsid w:val="72280025"/>
    <w:rsid w:val="727A4243"/>
    <w:rsid w:val="728A3B01"/>
    <w:rsid w:val="72A23CE8"/>
    <w:rsid w:val="72AB14FA"/>
    <w:rsid w:val="72FB4BF9"/>
    <w:rsid w:val="73090EC9"/>
    <w:rsid w:val="7349576A"/>
    <w:rsid w:val="73CA0659"/>
    <w:rsid w:val="740A6CA7"/>
    <w:rsid w:val="74501441"/>
    <w:rsid w:val="74597C2E"/>
    <w:rsid w:val="7476258E"/>
    <w:rsid w:val="74BF0636"/>
    <w:rsid w:val="74DA0D6F"/>
    <w:rsid w:val="755A7D9F"/>
    <w:rsid w:val="755F3023"/>
    <w:rsid w:val="756643B1"/>
    <w:rsid w:val="757F50B8"/>
    <w:rsid w:val="75B415C0"/>
    <w:rsid w:val="75F36421"/>
    <w:rsid w:val="764C7A4B"/>
    <w:rsid w:val="76DB0DCF"/>
    <w:rsid w:val="76F123A0"/>
    <w:rsid w:val="76FE04E1"/>
    <w:rsid w:val="772C37AC"/>
    <w:rsid w:val="77356731"/>
    <w:rsid w:val="7746449A"/>
    <w:rsid w:val="77960662"/>
    <w:rsid w:val="77D575CC"/>
    <w:rsid w:val="77E26273"/>
    <w:rsid w:val="785717B2"/>
    <w:rsid w:val="785B044C"/>
    <w:rsid w:val="787C21CD"/>
    <w:rsid w:val="78830BDE"/>
    <w:rsid w:val="78B167C1"/>
    <w:rsid w:val="790E0FE8"/>
    <w:rsid w:val="79330A4E"/>
    <w:rsid w:val="79766B8D"/>
    <w:rsid w:val="79A83A7C"/>
    <w:rsid w:val="79C02700"/>
    <w:rsid w:val="79C30024"/>
    <w:rsid w:val="79E25065"/>
    <w:rsid w:val="79ED1E90"/>
    <w:rsid w:val="7A0F3269"/>
    <w:rsid w:val="7A6B4218"/>
    <w:rsid w:val="7A6F1F5A"/>
    <w:rsid w:val="7A7B08FF"/>
    <w:rsid w:val="7A85177D"/>
    <w:rsid w:val="7ABE7D93"/>
    <w:rsid w:val="7AC35E02"/>
    <w:rsid w:val="7AEF2C32"/>
    <w:rsid w:val="7AF7054B"/>
    <w:rsid w:val="7AFF29BB"/>
    <w:rsid w:val="7B166879"/>
    <w:rsid w:val="7B31720F"/>
    <w:rsid w:val="7B43503A"/>
    <w:rsid w:val="7B7470FC"/>
    <w:rsid w:val="7B856BDA"/>
    <w:rsid w:val="7BBA7205"/>
    <w:rsid w:val="7BCF1CF7"/>
    <w:rsid w:val="7BD9715F"/>
    <w:rsid w:val="7BE35A96"/>
    <w:rsid w:val="7BF7581F"/>
    <w:rsid w:val="7C2E374F"/>
    <w:rsid w:val="7C353A52"/>
    <w:rsid w:val="7C492337"/>
    <w:rsid w:val="7C5B09E8"/>
    <w:rsid w:val="7C9034B2"/>
    <w:rsid w:val="7D0746CC"/>
    <w:rsid w:val="7D6438CC"/>
    <w:rsid w:val="7D7F0706"/>
    <w:rsid w:val="7D891584"/>
    <w:rsid w:val="7DAE4B47"/>
    <w:rsid w:val="7E0E1A8A"/>
    <w:rsid w:val="7E336FAC"/>
    <w:rsid w:val="7E3509BC"/>
    <w:rsid w:val="7E3C65F7"/>
    <w:rsid w:val="7E663674"/>
    <w:rsid w:val="7E7538B7"/>
    <w:rsid w:val="7E8458A8"/>
    <w:rsid w:val="7F0C6677"/>
    <w:rsid w:val="7F1D01D6"/>
    <w:rsid w:val="7FA73F44"/>
    <w:rsid w:val="7FDD7966"/>
    <w:rsid w:val="7FF07699"/>
    <w:rsid w:val="7FFD05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1"/>
      <w:lang w:val="en-US" w:eastAsia="zh-CN" w:bidi="ar-SA"/>
    </w:rPr>
  </w:style>
  <w:style w:type="paragraph" w:styleId="2">
    <w:name w:val="heading 1"/>
    <w:basedOn w:val="1"/>
    <w:next w:val="1"/>
    <w:qFormat/>
    <w:uiPriority w:val="0"/>
    <w:pPr>
      <w:keepNext/>
      <w:jc w:val="center"/>
      <w:outlineLvl w:val="0"/>
    </w:pPr>
    <w:rPr>
      <w:rFonts w:ascii="楷体_GB2312" w:eastAsia="楷体_GB2312"/>
      <w:sz w:val="28"/>
      <w:szCs w:val="28"/>
    </w:rPr>
  </w:style>
  <w:style w:type="paragraph" w:styleId="3">
    <w:name w:val="heading 2"/>
    <w:basedOn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4">
    <w:name w:val="heading 3"/>
    <w:basedOn w:val="1"/>
    <w:next w:val="1"/>
    <w:qFormat/>
    <w:uiPriority w:val="0"/>
    <w:pPr>
      <w:keepNext/>
      <w:keepLines/>
      <w:spacing w:before="260" w:after="260" w:line="416" w:lineRule="auto"/>
      <w:outlineLvl w:val="2"/>
    </w:pPr>
    <w:rPr>
      <w:b/>
      <w:bCs/>
      <w:sz w:val="32"/>
      <w:szCs w:val="32"/>
    </w:rPr>
  </w:style>
  <w:style w:type="character" w:default="1" w:styleId="18">
    <w:name w:val="Default Paragraph Font"/>
    <w:semiHidden/>
    <w:qFormat/>
    <w:uiPriority w:val="0"/>
  </w:style>
  <w:style w:type="table" w:default="1" w:styleId="16">
    <w:name w:val="Normal Table"/>
    <w:semiHidden/>
    <w:qFormat/>
    <w:uiPriority w:val="0"/>
    <w:tblPr>
      <w:tblCellMar>
        <w:top w:w="0" w:type="dxa"/>
        <w:left w:w="108" w:type="dxa"/>
        <w:bottom w:w="0" w:type="dxa"/>
        <w:right w:w="108" w:type="dxa"/>
      </w:tblCellMar>
    </w:tblPr>
  </w:style>
  <w:style w:type="paragraph" w:styleId="5">
    <w:name w:val="Normal Indent"/>
    <w:basedOn w:val="1"/>
    <w:qFormat/>
    <w:uiPriority w:val="0"/>
    <w:pPr>
      <w:ind w:firstLine="420"/>
    </w:pPr>
  </w:style>
  <w:style w:type="paragraph" w:styleId="6">
    <w:name w:val="Body Text"/>
    <w:basedOn w:val="1"/>
    <w:next w:val="1"/>
    <w:qFormat/>
    <w:uiPriority w:val="0"/>
    <w:rPr>
      <w:rFonts w:ascii="楷体_GB2312" w:hAnsi="Arial" w:eastAsia="楷体_GB2312"/>
      <w:sz w:val="28"/>
      <w:szCs w:val="28"/>
    </w:rPr>
  </w:style>
  <w:style w:type="paragraph" w:styleId="7">
    <w:name w:val="Body Text Indent"/>
    <w:basedOn w:val="1"/>
    <w:next w:val="8"/>
    <w:qFormat/>
    <w:uiPriority w:val="0"/>
    <w:pPr>
      <w:ind w:firstLine="645"/>
    </w:pPr>
    <w:rPr>
      <w:rFonts w:ascii="楷体_GB2312" w:eastAsia="楷体_GB2312"/>
      <w:sz w:val="32"/>
      <w:szCs w:val="32"/>
    </w:rPr>
  </w:style>
  <w:style w:type="paragraph" w:styleId="8">
    <w:name w:val="envelope return"/>
    <w:basedOn w:val="1"/>
    <w:qFormat/>
    <w:uiPriority w:val="0"/>
    <w:rPr>
      <w:rFonts w:ascii="Arial" w:hAnsi="Arial"/>
    </w:rPr>
  </w:style>
  <w:style w:type="paragraph" w:styleId="9">
    <w:name w:val="Plain Text"/>
    <w:basedOn w:val="1"/>
    <w:qFormat/>
    <w:uiPriority w:val="99"/>
    <w:rPr>
      <w:rFonts w:ascii="宋体" w:hAnsi="Courier New"/>
    </w:rPr>
  </w:style>
  <w:style w:type="paragraph" w:styleId="10">
    <w:name w:val="footer"/>
    <w:basedOn w:val="1"/>
    <w:qFormat/>
    <w:uiPriority w:val="0"/>
    <w:pPr>
      <w:tabs>
        <w:tab w:val="center" w:pos="4153"/>
        <w:tab w:val="right" w:pos="8306"/>
      </w:tabs>
      <w:jc w:val="left"/>
    </w:pPr>
    <w:rPr>
      <w:sz w:val="18"/>
      <w:szCs w:val="18"/>
    </w:rPr>
  </w:style>
  <w:style w:type="paragraph" w:styleId="11">
    <w:name w:val="header"/>
    <w:basedOn w:val="1"/>
    <w:qFormat/>
    <w:uiPriority w:val="0"/>
    <w:pPr>
      <w:pBdr>
        <w:bottom w:val="single" w:color="auto" w:sz="6" w:space="1"/>
      </w:pBdr>
      <w:tabs>
        <w:tab w:val="center" w:pos="4153"/>
        <w:tab w:val="right" w:pos="8306"/>
      </w:tabs>
      <w:jc w:val="center"/>
    </w:pPr>
    <w:rPr>
      <w:sz w:val="18"/>
      <w:szCs w:val="18"/>
    </w:rPr>
  </w:style>
  <w:style w:type="paragraph" w:styleId="12">
    <w:name w:val="toc 1"/>
    <w:basedOn w:val="1"/>
    <w:next w:val="1"/>
    <w:semiHidden/>
    <w:qFormat/>
    <w:uiPriority w:val="0"/>
    <w:pPr>
      <w:tabs>
        <w:tab w:val="right" w:leader="dot" w:pos="8720"/>
      </w:tabs>
      <w:spacing w:before="120" w:after="120" w:line="400" w:lineRule="exact"/>
      <w:jc w:val="left"/>
    </w:pPr>
    <w:rPr>
      <w:rFonts w:ascii="宋体" w:hAnsi="宋体"/>
      <w:caps/>
      <w:sz w:val="24"/>
      <w:szCs w:val="24"/>
      <w:lang w:val="en-US" w:eastAsia="zh-CN"/>
    </w:rPr>
  </w:style>
  <w:style w:type="paragraph" w:styleId="13">
    <w:name w:val="Normal (Web)"/>
    <w:basedOn w:val="1"/>
    <w:qFormat/>
    <w:uiPriority w:val="0"/>
    <w:pPr>
      <w:widowControl/>
      <w:spacing w:before="100" w:beforeAutospacing="1" w:after="100" w:afterAutospacing="1"/>
      <w:jc w:val="left"/>
    </w:pPr>
    <w:rPr>
      <w:rFonts w:ascii="宋体" w:hAnsi="宋体" w:cs="宋体"/>
      <w:sz w:val="24"/>
      <w:szCs w:val="24"/>
    </w:rPr>
  </w:style>
  <w:style w:type="paragraph" w:styleId="14">
    <w:name w:val="Body Text First Indent"/>
    <w:basedOn w:val="1"/>
    <w:qFormat/>
    <w:uiPriority w:val="0"/>
    <w:pPr>
      <w:spacing w:line="360" w:lineRule="auto"/>
      <w:ind w:firstLine="200"/>
    </w:pPr>
    <w:rPr>
      <w:rFonts w:ascii="仿宋_GB2312" w:eastAsia="仿宋_GB2312"/>
      <w:sz w:val="30"/>
      <w:szCs w:val="30"/>
    </w:rPr>
  </w:style>
  <w:style w:type="paragraph" w:styleId="15">
    <w:name w:val="Body Text First Indent 2"/>
    <w:basedOn w:val="7"/>
    <w:next w:val="5"/>
    <w:qFormat/>
    <w:uiPriority w:val="0"/>
    <w:pPr>
      <w:spacing w:line="360" w:lineRule="auto"/>
      <w:ind w:firstLine="420"/>
    </w:pPr>
    <w:rPr>
      <w:rFonts w:ascii="宋体" w:hAnsi="宋体" w:eastAsia="宋体"/>
      <w:sz w:val="21"/>
      <w:szCs w:val="20"/>
    </w:rPr>
  </w:style>
  <w:style w:type="table" w:styleId="17">
    <w:name w:val="Table Grid"/>
    <w:basedOn w:val="16"/>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page number"/>
    <w:qFormat/>
    <w:uiPriority w:val="0"/>
  </w:style>
  <w:style w:type="paragraph" w:customStyle="1" w:styleId="20">
    <w:name w:val="普通正文"/>
    <w:basedOn w:val="1"/>
    <w:qFormat/>
    <w:uiPriority w:val="0"/>
    <w:pPr>
      <w:spacing w:before="120" w:after="120" w:line="360" w:lineRule="auto"/>
      <w:ind w:firstLine="480"/>
      <w:jc w:val="left"/>
    </w:pPr>
    <w:rPr>
      <w:rFonts w:ascii="Arial" w:hAnsi="Arial"/>
      <w:sz w:val="24"/>
      <w:szCs w:val="24"/>
    </w:rPr>
  </w:style>
  <w:style w:type="paragraph" w:customStyle="1" w:styleId="21">
    <w:name w:val="TOC 71"/>
    <w:next w:val="1"/>
    <w:qFormat/>
    <w:uiPriority w:val="0"/>
    <w:pPr>
      <w:ind w:left="2550"/>
      <w:jc w:val="both"/>
    </w:pPr>
    <w:rPr>
      <w:rFonts w:hint="default" w:ascii="Times New Roman" w:hAnsi="Times New Roman" w:eastAsia="宋体" w:cs="Times New Roman"/>
      <w:sz w:val="21"/>
      <w:szCs w:val="22"/>
      <w:lang w:val="en-US" w:eastAsia="zh-CN" w:bidi="ar-SA"/>
    </w:rPr>
  </w:style>
  <w:style w:type="paragraph" w:customStyle="1" w:styleId="22">
    <w:name w:val="Default"/>
    <w:basedOn w:val="1"/>
    <w:next w:val="21"/>
    <w:qFormat/>
    <w:uiPriority w:val="0"/>
    <w:pPr>
      <w:jc w:val="left"/>
    </w:pPr>
    <w:rPr>
      <w:rFonts w:ascii="宋体" w:hAnsi="Calibri" w:cs="宋体"/>
      <w:color w:val="000000"/>
      <w:sz w:val="24"/>
    </w:rPr>
  </w:style>
  <w:style w:type="paragraph" w:styleId="23">
    <w:name w:val="List Paragraph"/>
    <w:basedOn w:val="1"/>
    <w:autoRedefine/>
    <w:qFormat/>
    <w:uiPriority w:val="34"/>
    <w:pPr>
      <w:widowControl/>
      <w:ind w:left="720"/>
      <w:contextualSpacing/>
      <w:jc w:val="left"/>
    </w:pPr>
    <w:rPr>
      <w:rFonts w:ascii="Calibri" w:hAnsi="Calibri"/>
      <w:sz w:val="24"/>
      <w:szCs w:val="24"/>
      <w:lang w:eastAsia="en-US" w:bidi="en-US"/>
    </w:rPr>
  </w:style>
  <w:style w:type="character" w:customStyle="1" w:styleId="24">
    <w:name w:val="NormalCharacter"/>
    <w:qFormat/>
    <w:uiPriority w:val="0"/>
    <w:rPr>
      <w:rFonts w:ascii="Times New Roman" w:hAnsi="Times New Roman" w:eastAsia="宋体"/>
    </w:rPr>
  </w:style>
  <w:style w:type="character" w:customStyle="1" w:styleId="25">
    <w:name w:val="font51"/>
    <w:basedOn w:val="18"/>
    <w:qFormat/>
    <w:uiPriority w:val="0"/>
    <w:rPr>
      <w:rFonts w:hint="eastAsia" w:ascii="宋体" w:hAnsi="宋体" w:eastAsia="宋体" w:cs="宋体"/>
      <w:color w:val="000000"/>
      <w:sz w:val="21"/>
      <w:szCs w:val="21"/>
      <w:u w:val="single"/>
    </w:rPr>
  </w:style>
  <w:style w:type="character" w:customStyle="1" w:styleId="26">
    <w:name w:val="font31"/>
    <w:basedOn w:val="18"/>
    <w:qFormat/>
    <w:uiPriority w:val="0"/>
    <w:rPr>
      <w:rFonts w:hint="eastAsia" w:ascii="宋体" w:hAnsi="宋体" w:eastAsia="宋体" w:cs="宋体"/>
      <w:color w:val="000000"/>
      <w:sz w:val="21"/>
      <w:szCs w:val="21"/>
      <w:u w:val="none"/>
    </w:rPr>
  </w:style>
  <w:style w:type="character" w:customStyle="1" w:styleId="27">
    <w:name w:val="font61"/>
    <w:basedOn w:val="18"/>
    <w:qFormat/>
    <w:uiPriority w:val="0"/>
    <w:rPr>
      <w:rFonts w:hint="eastAsia" w:ascii="宋体" w:hAnsi="宋体" w:eastAsia="宋体" w:cs="宋体"/>
      <w:color w:val="FF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50</Pages>
  <Words>13920</Words>
  <Characters>14954</Characters>
  <Lines>0</Lines>
  <Paragraphs>0</Paragraphs>
  <TotalTime>12</TotalTime>
  <ScaleCrop>false</ScaleCrop>
  <LinksUpToDate>false</LinksUpToDate>
  <CharactersWithSpaces>15121</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2024-12-24T01:17:00Z</dcterms:created>
  <dc:creator>馨</dc:creator>
  <cp:lastModifiedBy>米修～米修</cp:lastModifiedBy>
  <cp:lastPrinted>2026-03-23T02:40:00Z</cp:lastPrinted>
  <dcterms:modified xsi:type="dcterms:W3CDTF">2026-04-16T07:03:04Z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CD400FB1C7CB43BDA72BE5BF277F4ADE_13</vt:lpwstr>
  </property>
  <property fmtid="{D5CDD505-2E9C-101B-9397-08002B2CF9AE}" pid="4" name="KSOTemplateDocerSaveRecord">
    <vt:lpwstr>eyJoZGlkIjoiYmRlZDMyMmM0MTlhMmRkODlhZTM3ZjIyODFjNzExNDgiLCJ1c2VySWQiOiIxMjM5Mjk5NTM1In0=</vt:lpwstr>
  </property>
</Properties>
</file>